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8F81D4" w14:textId="77777777" w:rsidR="001C2D1F" w:rsidRPr="003237B7" w:rsidRDefault="001C2D1F" w:rsidP="001C2D1F">
      <w:pPr>
        <w:rPr>
          <w:rFonts w:ascii="Arial" w:hAnsi="Arial" w:cs="Arial"/>
          <w:b/>
          <w:color w:val="101920" w:themeColor="text1"/>
          <w:sz w:val="48"/>
          <w:szCs w:val="48"/>
        </w:rPr>
      </w:pPr>
      <w:r w:rsidRPr="003237B7">
        <w:rPr>
          <w:rFonts w:ascii="Arial" w:hAnsi="Arial" w:cs="Arial"/>
          <w:b/>
          <w:color w:val="101920" w:themeColor="text1"/>
          <w:sz w:val="48"/>
          <w:szCs w:val="48"/>
        </w:rPr>
        <w:t>Pressemitteilung</w:t>
      </w:r>
    </w:p>
    <w:p w14:paraId="2DFE6D20" w14:textId="62331EC5" w:rsidR="003237B7" w:rsidRPr="00013566" w:rsidRDefault="00400F23" w:rsidP="003237B7">
      <w:pPr>
        <w:rPr>
          <w:rFonts w:ascii="Arial" w:hAnsi="Arial" w:cs="Arial"/>
          <w:bCs/>
          <w:sz w:val="22"/>
          <w:szCs w:val="22"/>
        </w:rPr>
      </w:pPr>
      <w:r>
        <w:rPr>
          <w:rFonts w:ascii="Arial" w:hAnsi="Arial" w:cs="Arial"/>
          <w:bCs/>
          <w:sz w:val="22"/>
          <w:szCs w:val="22"/>
        </w:rPr>
        <w:t>19</w:t>
      </w:r>
      <w:r w:rsidR="003237B7">
        <w:rPr>
          <w:rFonts w:ascii="Arial" w:hAnsi="Arial" w:cs="Arial"/>
          <w:bCs/>
          <w:sz w:val="22"/>
          <w:szCs w:val="22"/>
        </w:rPr>
        <w:t xml:space="preserve">. </w:t>
      </w:r>
      <w:r>
        <w:rPr>
          <w:rFonts w:ascii="Arial" w:hAnsi="Arial" w:cs="Arial"/>
          <w:bCs/>
          <w:sz w:val="22"/>
          <w:szCs w:val="22"/>
        </w:rPr>
        <w:t>März</w:t>
      </w:r>
      <w:r w:rsidR="003237B7">
        <w:rPr>
          <w:rFonts w:ascii="Arial" w:hAnsi="Arial" w:cs="Arial"/>
          <w:bCs/>
          <w:sz w:val="22"/>
          <w:szCs w:val="22"/>
        </w:rPr>
        <w:t xml:space="preserve"> 2026</w:t>
      </w:r>
    </w:p>
    <w:p w14:paraId="14AD39E5" w14:textId="77777777" w:rsidR="003237B7" w:rsidRPr="004F20E4" w:rsidRDefault="003237B7" w:rsidP="003237B7">
      <w:pPr>
        <w:rPr>
          <w:rFonts w:ascii="Arial" w:hAnsi="Arial" w:cs="Arial"/>
          <w:b/>
          <w:color w:val="6B6B6B"/>
        </w:rPr>
      </w:pPr>
    </w:p>
    <w:p w14:paraId="6756ECD2" w14:textId="1EA41056" w:rsidR="00E21965" w:rsidRDefault="0030625B" w:rsidP="003237B7">
      <w:pPr>
        <w:rPr>
          <w:rFonts w:ascii="Arial" w:hAnsi="Arial" w:cs="Arial"/>
          <w:b/>
          <w:color w:val="FD5000"/>
          <w:sz w:val="32"/>
          <w:szCs w:val="32"/>
        </w:rPr>
      </w:pPr>
      <w:r w:rsidRPr="0030625B">
        <w:rPr>
          <w:rFonts w:ascii="Arial" w:hAnsi="Arial" w:cs="Arial"/>
          <w:b/>
          <w:color w:val="FD5000"/>
          <w:sz w:val="32"/>
          <w:szCs w:val="32"/>
        </w:rPr>
        <w:t>Alles per Banking-App?</w:t>
      </w:r>
    </w:p>
    <w:p w14:paraId="66287824" w14:textId="77777777" w:rsidR="002B7E3A" w:rsidRPr="002B7E3A" w:rsidRDefault="002B7E3A" w:rsidP="002B7E3A">
      <w:pPr>
        <w:rPr>
          <w:rFonts w:ascii="Arial" w:hAnsi="Arial" w:cs="Arial"/>
          <w:sz w:val="32"/>
          <w:szCs w:val="32"/>
        </w:rPr>
      </w:pPr>
      <w:r w:rsidRPr="002B7E3A">
        <w:rPr>
          <w:rFonts w:ascii="Arial" w:hAnsi="Arial" w:cs="Arial"/>
          <w:sz w:val="32"/>
          <w:szCs w:val="32"/>
        </w:rPr>
        <w:t xml:space="preserve">Wie digitale Finanzlösungen 2025 zum Alltag wurden und </w:t>
      </w:r>
    </w:p>
    <w:p w14:paraId="398A811D" w14:textId="3995F75D" w:rsidR="00F8095A" w:rsidRDefault="002B7E3A" w:rsidP="002B7E3A">
      <w:pPr>
        <w:rPr>
          <w:rFonts w:ascii="Arial" w:hAnsi="Arial" w:cs="Arial"/>
          <w:sz w:val="32"/>
          <w:szCs w:val="32"/>
        </w:rPr>
      </w:pPr>
      <w:r w:rsidRPr="002B7E3A">
        <w:rPr>
          <w:rFonts w:ascii="Arial" w:hAnsi="Arial" w:cs="Arial"/>
          <w:sz w:val="32"/>
          <w:szCs w:val="32"/>
        </w:rPr>
        <w:t>was sich die Deutschen 2026 vom Banking wünschen</w:t>
      </w:r>
    </w:p>
    <w:p w14:paraId="4AC23C4D" w14:textId="77777777" w:rsidR="00E21965" w:rsidRPr="00B829A1" w:rsidRDefault="00E21965" w:rsidP="003237B7">
      <w:pPr>
        <w:rPr>
          <w:rFonts w:ascii="Arial" w:hAnsi="Arial" w:cs="Arial"/>
          <w:sz w:val="32"/>
          <w:szCs w:val="32"/>
        </w:rPr>
      </w:pPr>
    </w:p>
    <w:p w14:paraId="1206598C" w14:textId="77777777" w:rsidR="008A3A96" w:rsidRPr="008A3A96" w:rsidRDefault="008A3A96" w:rsidP="008A3A96">
      <w:pPr>
        <w:pStyle w:val="Listenabsatz"/>
        <w:numPr>
          <w:ilvl w:val="0"/>
          <w:numId w:val="8"/>
        </w:numPr>
        <w:spacing w:line="360" w:lineRule="auto"/>
        <w:rPr>
          <w:rFonts w:ascii="Arial" w:hAnsi="Arial" w:cs="Arial"/>
        </w:rPr>
      </w:pPr>
      <w:r w:rsidRPr="008A3A96">
        <w:rPr>
          <w:rFonts w:ascii="Arial" w:hAnsi="Arial" w:cs="Arial"/>
        </w:rPr>
        <w:t>Digitale Finanzservices sind längst selbstverständlich</w:t>
      </w:r>
    </w:p>
    <w:p w14:paraId="18A61146" w14:textId="77777777" w:rsidR="008A3A96" w:rsidRPr="008A3A96" w:rsidRDefault="008A3A96" w:rsidP="008A3A96">
      <w:pPr>
        <w:pStyle w:val="Listenabsatz"/>
        <w:numPr>
          <w:ilvl w:val="0"/>
          <w:numId w:val="8"/>
        </w:numPr>
        <w:spacing w:line="360" w:lineRule="auto"/>
        <w:rPr>
          <w:rFonts w:ascii="Arial" w:hAnsi="Arial" w:cs="Arial"/>
        </w:rPr>
      </w:pPr>
      <w:r w:rsidRPr="008A3A96">
        <w:rPr>
          <w:rFonts w:ascii="Arial" w:hAnsi="Arial" w:cs="Arial"/>
        </w:rPr>
        <w:t xml:space="preserve">Vor allem Jüngere setzen auf Apps und Mobile Payment </w:t>
      </w:r>
    </w:p>
    <w:p w14:paraId="012EBF6C" w14:textId="35F173DC" w:rsidR="00E21965" w:rsidRDefault="008A3A96" w:rsidP="008A3A96">
      <w:pPr>
        <w:pStyle w:val="Listenabsatz"/>
        <w:numPr>
          <w:ilvl w:val="0"/>
          <w:numId w:val="8"/>
        </w:numPr>
        <w:spacing w:line="360" w:lineRule="auto"/>
        <w:rPr>
          <w:rFonts w:ascii="Arial" w:hAnsi="Arial" w:cs="Arial"/>
        </w:rPr>
      </w:pPr>
      <w:r w:rsidRPr="008A3A96">
        <w:rPr>
          <w:rFonts w:ascii="Arial" w:hAnsi="Arial" w:cs="Arial"/>
        </w:rPr>
        <w:t>Banking soll einfach, schnell und sicher sein</w:t>
      </w:r>
    </w:p>
    <w:p w14:paraId="31C87578" w14:textId="77777777" w:rsidR="00F8095A" w:rsidRPr="003A1588" w:rsidRDefault="00F8095A" w:rsidP="00F8095A">
      <w:pPr>
        <w:pStyle w:val="Listenabsatz"/>
        <w:spacing w:line="360" w:lineRule="auto"/>
        <w:rPr>
          <w:rFonts w:ascii="Arial" w:hAnsi="Arial" w:cs="Arial"/>
          <w:sz w:val="18"/>
          <w:szCs w:val="18"/>
          <w:lang w:eastAsia="ja-JP"/>
        </w:rPr>
      </w:pPr>
    </w:p>
    <w:p w14:paraId="724F47D2" w14:textId="7EAE8B37" w:rsidR="00F8095A" w:rsidRDefault="00F8095A" w:rsidP="00F8095A">
      <w:pPr>
        <w:spacing w:line="360" w:lineRule="auto"/>
        <w:rPr>
          <w:rFonts w:ascii="Arial" w:hAnsi="Arial" w:cs="Arial"/>
          <w:b/>
          <w:bCs/>
          <w:sz w:val="18"/>
          <w:szCs w:val="18"/>
          <w:lang w:eastAsia="ja-JP"/>
        </w:rPr>
      </w:pPr>
      <w:r w:rsidRPr="000605AC">
        <w:rPr>
          <w:rFonts w:ascii="Arial" w:hAnsi="Arial" w:cs="Arial"/>
          <w:b/>
          <w:bCs/>
          <w:sz w:val="18"/>
          <w:szCs w:val="18"/>
          <w:lang w:eastAsia="ja-JP"/>
        </w:rPr>
        <w:t xml:space="preserve">Bonn, </w:t>
      </w:r>
      <w:r w:rsidR="008A3A96">
        <w:rPr>
          <w:rFonts w:ascii="Arial" w:hAnsi="Arial" w:cs="Arial"/>
          <w:b/>
          <w:bCs/>
          <w:sz w:val="18"/>
          <w:szCs w:val="18"/>
          <w:lang w:eastAsia="ja-JP"/>
        </w:rPr>
        <w:t>19</w:t>
      </w:r>
      <w:r w:rsidR="00012C05">
        <w:rPr>
          <w:rFonts w:ascii="Arial" w:hAnsi="Arial" w:cs="Arial"/>
          <w:b/>
          <w:bCs/>
          <w:sz w:val="18"/>
          <w:szCs w:val="18"/>
          <w:lang w:eastAsia="ja-JP"/>
        </w:rPr>
        <w:t>.</w:t>
      </w:r>
      <w:r w:rsidR="008A3A96">
        <w:rPr>
          <w:rFonts w:ascii="Arial" w:hAnsi="Arial" w:cs="Arial"/>
          <w:b/>
          <w:bCs/>
          <w:sz w:val="18"/>
          <w:szCs w:val="18"/>
          <w:lang w:eastAsia="ja-JP"/>
        </w:rPr>
        <w:t>3</w:t>
      </w:r>
      <w:r w:rsidR="00012C05">
        <w:rPr>
          <w:rFonts w:ascii="Arial" w:hAnsi="Arial" w:cs="Arial"/>
          <w:b/>
          <w:bCs/>
          <w:sz w:val="18"/>
          <w:szCs w:val="18"/>
          <w:lang w:eastAsia="ja-JP"/>
        </w:rPr>
        <w:t>.2026</w:t>
      </w:r>
      <w:r w:rsidRPr="000605AC">
        <w:rPr>
          <w:rFonts w:ascii="Arial" w:hAnsi="Arial" w:cs="Arial"/>
          <w:b/>
          <w:bCs/>
          <w:sz w:val="18"/>
          <w:szCs w:val="18"/>
          <w:lang w:eastAsia="ja-JP"/>
        </w:rPr>
        <w:t xml:space="preserve"> | </w:t>
      </w:r>
      <w:r w:rsidR="00732C02" w:rsidRPr="00732C02">
        <w:rPr>
          <w:rFonts w:ascii="Arial" w:hAnsi="Arial" w:cs="Arial"/>
          <w:b/>
          <w:bCs/>
          <w:sz w:val="18"/>
          <w:szCs w:val="18"/>
          <w:lang w:eastAsia="ja-JP"/>
        </w:rPr>
        <w:t xml:space="preserve">Digitale Finanzdienstleistungen wie Banking-Apps oder </w:t>
      </w:r>
      <w:r w:rsidR="001D1287">
        <w:rPr>
          <w:rFonts w:ascii="Arial" w:hAnsi="Arial" w:cs="Arial"/>
          <w:b/>
          <w:bCs/>
          <w:sz w:val="18"/>
          <w:szCs w:val="18"/>
          <w:lang w:eastAsia="ja-JP"/>
        </w:rPr>
        <w:t>m</w:t>
      </w:r>
      <w:r w:rsidR="001D1287" w:rsidRPr="00732C02">
        <w:rPr>
          <w:rFonts w:ascii="Arial" w:hAnsi="Arial" w:cs="Arial"/>
          <w:b/>
          <w:bCs/>
          <w:sz w:val="18"/>
          <w:szCs w:val="18"/>
          <w:lang w:eastAsia="ja-JP"/>
        </w:rPr>
        <w:t xml:space="preserve">obiles </w:t>
      </w:r>
      <w:r w:rsidR="00732C02" w:rsidRPr="00732C02">
        <w:rPr>
          <w:rFonts w:ascii="Arial" w:hAnsi="Arial" w:cs="Arial"/>
          <w:b/>
          <w:bCs/>
          <w:sz w:val="18"/>
          <w:szCs w:val="18"/>
          <w:lang w:eastAsia="ja-JP"/>
        </w:rPr>
        <w:t xml:space="preserve">Bezahlen sind für viele Deutsche mittlerweile fester Bestandteil des Alltags. Mehr als jeder Zweite (51,3 Prozent) nutzte sie 2025. Weitere 28 Prozent geben an, diese Angebote sogar häufiger genutzt zu haben als im Vorjahr. Gleichzeitig blieb der Anteil derer, die ohne </w:t>
      </w:r>
      <w:r w:rsidR="001D1287" w:rsidRPr="00732C02">
        <w:rPr>
          <w:rFonts w:ascii="Arial" w:hAnsi="Arial" w:cs="Arial"/>
          <w:b/>
          <w:bCs/>
          <w:sz w:val="18"/>
          <w:szCs w:val="18"/>
          <w:lang w:eastAsia="ja-JP"/>
        </w:rPr>
        <w:t>Banking</w:t>
      </w:r>
      <w:r w:rsidR="001D1287">
        <w:rPr>
          <w:rFonts w:ascii="Arial" w:hAnsi="Arial" w:cs="Arial"/>
          <w:b/>
          <w:bCs/>
          <w:sz w:val="18"/>
          <w:szCs w:val="18"/>
          <w:lang w:eastAsia="ja-JP"/>
        </w:rPr>
        <w:t>-</w:t>
      </w:r>
      <w:r w:rsidR="00732C02" w:rsidRPr="00732C02">
        <w:rPr>
          <w:rFonts w:ascii="Arial" w:hAnsi="Arial" w:cs="Arial"/>
          <w:b/>
          <w:bCs/>
          <w:sz w:val="18"/>
          <w:szCs w:val="18"/>
          <w:lang w:eastAsia="ja-JP"/>
        </w:rPr>
        <w:t xml:space="preserve">Apps oder </w:t>
      </w:r>
      <w:r w:rsidR="001D1287">
        <w:rPr>
          <w:rFonts w:ascii="Arial" w:hAnsi="Arial" w:cs="Arial"/>
          <w:b/>
          <w:bCs/>
          <w:sz w:val="18"/>
          <w:szCs w:val="18"/>
          <w:lang w:eastAsia="ja-JP"/>
        </w:rPr>
        <w:t>m</w:t>
      </w:r>
      <w:r w:rsidR="001D1287" w:rsidRPr="00732C02">
        <w:rPr>
          <w:rFonts w:ascii="Arial" w:hAnsi="Arial" w:cs="Arial"/>
          <w:b/>
          <w:bCs/>
          <w:sz w:val="18"/>
          <w:szCs w:val="18"/>
          <w:lang w:eastAsia="ja-JP"/>
        </w:rPr>
        <w:t xml:space="preserve">obiles </w:t>
      </w:r>
      <w:r w:rsidR="00732C02" w:rsidRPr="00732C02">
        <w:rPr>
          <w:rFonts w:ascii="Arial" w:hAnsi="Arial" w:cs="Arial"/>
          <w:b/>
          <w:bCs/>
          <w:sz w:val="18"/>
          <w:szCs w:val="18"/>
          <w:lang w:eastAsia="ja-JP"/>
        </w:rPr>
        <w:t>Bezahlen auskamen, mit 14,4 Prozent nahezu auf konstant niedrigem Niveau.</w:t>
      </w:r>
    </w:p>
    <w:p w14:paraId="66832B36" w14:textId="77777777" w:rsidR="00F8095A" w:rsidRPr="00936516" w:rsidRDefault="00F8095A" w:rsidP="00F8095A">
      <w:pPr>
        <w:spacing w:line="360" w:lineRule="auto"/>
        <w:rPr>
          <w:rFonts w:ascii="Arial" w:hAnsi="Arial" w:cs="Arial"/>
          <w:b/>
          <w:bCs/>
          <w:sz w:val="18"/>
          <w:szCs w:val="18"/>
          <w:lang w:eastAsia="ja-JP"/>
        </w:rPr>
      </w:pPr>
    </w:p>
    <w:p w14:paraId="3F81518D" w14:textId="1F1A234F" w:rsidR="00370D14" w:rsidRPr="00370D14" w:rsidRDefault="00370D14" w:rsidP="00370D14">
      <w:pPr>
        <w:spacing w:line="360" w:lineRule="auto"/>
        <w:rPr>
          <w:rFonts w:ascii="Arial" w:hAnsi="Arial" w:cs="Arial"/>
          <w:sz w:val="18"/>
          <w:szCs w:val="18"/>
          <w:lang w:eastAsia="ja-JP"/>
        </w:rPr>
      </w:pPr>
      <w:r w:rsidRPr="00370D14">
        <w:rPr>
          <w:rFonts w:ascii="Arial" w:hAnsi="Arial" w:cs="Arial"/>
          <w:sz w:val="18"/>
          <w:szCs w:val="18"/>
          <w:lang w:eastAsia="ja-JP"/>
        </w:rPr>
        <w:t>Vor allem Jüngere zeigten sich 2025 als digitale Vielnutzer: In der Altersgruppe der 18- bis 29-Jährigen nutzten 14,</w:t>
      </w:r>
      <w:r w:rsidR="00946C10" w:rsidRPr="00370D14">
        <w:rPr>
          <w:rFonts w:ascii="Arial" w:hAnsi="Arial" w:cs="Arial"/>
          <w:sz w:val="18"/>
          <w:szCs w:val="18"/>
          <w:lang w:eastAsia="ja-JP"/>
        </w:rPr>
        <w:t>6</w:t>
      </w:r>
      <w:r w:rsidR="00946C10">
        <w:rPr>
          <w:rFonts w:ascii="Arial" w:hAnsi="Arial" w:cs="Arial"/>
          <w:sz w:val="18"/>
          <w:szCs w:val="18"/>
          <w:lang w:eastAsia="ja-JP"/>
        </w:rPr>
        <w:t> </w:t>
      </w:r>
      <w:r w:rsidRPr="00370D14">
        <w:rPr>
          <w:rFonts w:ascii="Arial" w:hAnsi="Arial" w:cs="Arial"/>
          <w:sz w:val="18"/>
          <w:szCs w:val="18"/>
          <w:lang w:eastAsia="ja-JP"/>
        </w:rPr>
        <w:t xml:space="preserve">Prozent digitale Services deutlich häufiger, weitere 25,5 Prozent etwas häufiger als im Vorjahr. Bei den 30- bis 39-Jährigen fällt der Anteil ähnlich hoch aus (13,1 Prozent deutlich häufiger, 25 Prozent etwas häufiger). Ab </w:t>
      </w:r>
      <w:r w:rsidR="00946C10" w:rsidRPr="00370D14">
        <w:rPr>
          <w:rFonts w:ascii="Arial" w:hAnsi="Arial" w:cs="Arial"/>
          <w:sz w:val="18"/>
          <w:szCs w:val="18"/>
          <w:lang w:eastAsia="ja-JP"/>
        </w:rPr>
        <w:t>40</w:t>
      </w:r>
      <w:r w:rsidR="00946C10">
        <w:rPr>
          <w:rFonts w:ascii="Arial" w:hAnsi="Arial" w:cs="Arial"/>
          <w:sz w:val="18"/>
          <w:szCs w:val="18"/>
          <w:lang w:eastAsia="ja-JP"/>
        </w:rPr>
        <w:t> </w:t>
      </w:r>
      <w:r w:rsidRPr="00370D14">
        <w:rPr>
          <w:rFonts w:ascii="Arial" w:hAnsi="Arial" w:cs="Arial"/>
          <w:sz w:val="18"/>
          <w:szCs w:val="18"/>
          <w:lang w:eastAsia="ja-JP"/>
        </w:rPr>
        <w:t>Jahren nahm die Nutzungsintensität spürbar ab: Nur 9,6 Prozent der Generation 50+ griffen 2025 deutlich häufiger zu digitalen Finanzlösungen.</w:t>
      </w:r>
    </w:p>
    <w:p w14:paraId="5F2263A4" w14:textId="77777777" w:rsidR="00370D14" w:rsidRPr="00370D14" w:rsidRDefault="00370D14" w:rsidP="00370D14">
      <w:pPr>
        <w:spacing w:line="360" w:lineRule="auto"/>
        <w:rPr>
          <w:rFonts w:ascii="Arial" w:hAnsi="Arial" w:cs="Arial"/>
          <w:sz w:val="18"/>
          <w:szCs w:val="18"/>
          <w:lang w:eastAsia="ja-JP"/>
        </w:rPr>
      </w:pPr>
    </w:p>
    <w:p w14:paraId="4555671D" w14:textId="77777777" w:rsidR="00370D14" w:rsidRPr="00370D14" w:rsidRDefault="00370D14" w:rsidP="00370D14">
      <w:pPr>
        <w:spacing w:line="360" w:lineRule="auto"/>
        <w:rPr>
          <w:rFonts w:ascii="Arial" w:hAnsi="Arial" w:cs="Arial"/>
          <w:sz w:val="18"/>
          <w:szCs w:val="18"/>
          <w:lang w:eastAsia="ja-JP"/>
        </w:rPr>
      </w:pPr>
      <w:r w:rsidRPr="00370D14">
        <w:rPr>
          <w:rFonts w:ascii="Arial" w:hAnsi="Arial" w:cs="Arial"/>
          <w:sz w:val="18"/>
          <w:szCs w:val="18"/>
          <w:lang w:eastAsia="ja-JP"/>
        </w:rPr>
        <w:t>Die regelmäßige Nutzung blieb dabei auf breiter Ebene stabil. Mehr als die Hälfte der Befragten gab an, digitale Angebote 2025 gleich häufig genutzt zu haben wie im Vorjahr (Jahreswechsel 2025/2026: 51,3 Prozent, Jahreswechsel 2024/2025: 52,4 Prozent).</w:t>
      </w:r>
    </w:p>
    <w:p w14:paraId="7861A9E2" w14:textId="77777777" w:rsidR="00370D14" w:rsidRPr="00370D14" w:rsidRDefault="00370D14" w:rsidP="00370D14">
      <w:pPr>
        <w:spacing w:line="360" w:lineRule="auto"/>
        <w:rPr>
          <w:rFonts w:ascii="Arial" w:hAnsi="Arial" w:cs="Arial"/>
          <w:sz w:val="18"/>
          <w:szCs w:val="18"/>
          <w:lang w:eastAsia="ja-JP"/>
        </w:rPr>
      </w:pPr>
    </w:p>
    <w:p w14:paraId="55BF47F3" w14:textId="77777777" w:rsidR="00370D14" w:rsidRPr="00BC34DF" w:rsidRDefault="00370D14" w:rsidP="00370D14">
      <w:pPr>
        <w:spacing w:line="360" w:lineRule="auto"/>
        <w:rPr>
          <w:rFonts w:ascii="Arial" w:hAnsi="Arial" w:cs="Arial"/>
          <w:b/>
          <w:bCs/>
          <w:sz w:val="18"/>
          <w:szCs w:val="18"/>
          <w:lang w:eastAsia="ja-JP"/>
        </w:rPr>
      </w:pPr>
      <w:r w:rsidRPr="00BC34DF">
        <w:rPr>
          <w:rFonts w:ascii="Arial" w:hAnsi="Arial" w:cs="Arial"/>
          <w:b/>
          <w:bCs/>
          <w:sz w:val="18"/>
          <w:szCs w:val="18"/>
          <w:lang w:eastAsia="ja-JP"/>
        </w:rPr>
        <w:t>Digitale Kontinuität: Das erwarten Deutsche für 2026</w:t>
      </w:r>
    </w:p>
    <w:p w14:paraId="26381111" w14:textId="48C95A93" w:rsidR="00370D14" w:rsidRPr="00370D14" w:rsidRDefault="00370D14" w:rsidP="00370D14">
      <w:pPr>
        <w:spacing w:line="360" w:lineRule="auto"/>
        <w:rPr>
          <w:rFonts w:ascii="Arial" w:hAnsi="Arial" w:cs="Arial"/>
          <w:sz w:val="18"/>
          <w:szCs w:val="18"/>
          <w:lang w:eastAsia="ja-JP"/>
        </w:rPr>
      </w:pPr>
      <w:r w:rsidRPr="00370D14">
        <w:rPr>
          <w:rFonts w:ascii="Arial" w:hAnsi="Arial" w:cs="Arial"/>
          <w:sz w:val="18"/>
          <w:szCs w:val="18"/>
          <w:lang w:eastAsia="ja-JP"/>
        </w:rPr>
        <w:t xml:space="preserve">Auch im neuen Jahr wollen die meisten Deutschen auf bewährte digitale Finanzlösungen setzen. 62,4 Prozent planen, ihre Banking-Apps, Mobile-Payment-Dienste und andere Angebote 2026 genauso häufig zu nutzen wie bisher. 11,8 Prozent der Befragten möchten die Nutzung etwas intensivieren, 6,8 Prozent sogar deutlich steigern. Vor allem die jüngere Generation bleibt Treiber </w:t>
      </w:r>
      <w:r w:rsidR="00946C10">
        <w:rPr>
          <w:rFonts w:ascii="Arial" w:hAnsi="Arial" w:cs="Arial"/>
          <w:sz w:val="18"/>
          <w:szCs w:val="18"/>
          <w:lang w:eastAsia="ja-JP"/>
        </w:rPr>
        <w:t>des</w:t>
      </w:r>
      <w:r w:rsidRPr="00370D14">
        <w:rPr>
          <w:rFonts w:ascii="Arial" w:hAnsi="Arial" w:cs="Arial"/>
          <w:sz w:val="18"/>
          <w:szCs w:val="18"/>
          <w:lang w:eastAsia="ja-JP"/>
        </w:rPr>
        <w:t xml:space="preserve"> digitalen Banking</w:t>
      </w:r>
      <w:r w:rsidR="00946C10">
        <w:rPr>
          <w:rFonts w:ascii="Arial" w:hAnsi="Arial" w:cs="Arial"/>
          <w:sz w:val="18"/>
          <w:szCs w:val="18"/>
          <w:lang w:eastAsia="ja-JP"/>
        </w:rPr>
        <w:t>s</w:t>
      </w:r>
      <w:r w:rsidRPr="00370D14">
        <w:rPr>
          <w:rFonts w:ascii="Arial" w:hAnsi="Arial" w:cs="Arial"/>
          <w:sz w:val="18"/>
          <w:szCs w:val="18"/>
          <w:lang w:eastAsia="ja-JP"/>
        </w:rPr>
        <w:t>: 22,6 Prozent der 18- bis 29-Jährigen planen für 2026 eine intensivere Nutzung, während in der Altersgruppe 50+ nur 7,7 Prozent eine häufigere Anwendung anstreben. Fast zwei Drittel dieser Altersgruppe wollen ihr Verhalten unverändert lassen (64,8 Prozent).</w:t>
      </w:r>
    </w:p>
    <w:p w14:paraId="4FF38035" w14:textId="77777777" w:rsidR="00370D14" w:rsidRPr="00370D14" w:rsidRDefault="00370D14" w:rsidP="00370D14">
      <w:pPr>
        <w:spacing w:line="360" w:lineRule="auto"/>
        <w:rPr>
          <w:rFonts w:ascii="Arial" w:hAnsi="Arial" w:cs="Arial"/>
          <w:sz w:val="18"/>
          <w:szCs w:val="18"/>
          <w:lang w:eastAsia="ja-JP"/>
        </w:rPr>
      </w:pPr>
    </w:p>
    <w:p w14:paraId="4B8A5296" w14:textId="77777777" w:rsidR="00370D14" w:rsidRPr="00BC34DF" w:rsidRDefault="00370D14" w:rsidP="00370D14">
      <w:pPr>
        <w:spacing w:line="360" w:lineRule="auto"/>
        <w:rPr>
          <w:rFonts w:ascii="Arial" w:hAnsi="Arial" w:cs="Arial"/>
          <w:b/>
          <w:bCs/>
          <w:sz w:val="18"/>
          <w:szCs w:val="18"/>
          <w:lang w:eastAsia="ja-JP"/>
        </w:rPr>
      </w:pPr>
      <w:r w:rsidRPr="00BC34DF">
        <w:rPr>
          <w:rFonts w:ascii="Arial" w:hAnsi="Arial" w:cs="Arial"/>
          <w:b/>
          <w:bCs/>
          <w:sz w:val="18"/>
          <w:szCs w:val="18"/>
          <w:lang w:eastAsia="ja-JP"/>
        </w:rPr>
        <w:t>Was eine gute Banking-App können muss</w:t>
      </w:r>
    </w:p>
    <w:p w14:paraId="148F1C76" w14:textId="77777777" w:rsidR="00370D14" w:rsidRPr="00370D14" w:rsidRDefault="00370D14" w:rsidP="00370D14">
      <w:pPr>
        <w:spacing w:line="360" w:lineRule="auto"/>
        <w:rPr>
          <w:rFonts w:ascii="Arial" w:hAnsi="Arial" w:cs="Arial"/>
          <w:sz w:val="18"/>
          <w:szCs w:val="18"/>
          <w:lang w:eastAsia="ja-JP"/>
        </w:rPr>
      </w:pPr>
      <w:r w:rsidRPr="00370D14">
        <w:rPr>
          <w:rFonts w:ascii="Arial" w:hAnsi="Arial" w:cs="Arial"/>
          <w:sz w:val="18"/>
          <w:szCs w:val="18"/>
          <w:lang w:eastAsia="ja-JP"/>
        </w:rPr>
        <w:t xml:space="preserve">Schnell, sicher und übersichtlich – so wünschen sich die Deutschen ihre Banking-App. Ganz oben auf der Prioritätenliste stehen Transparenz in Echtzeit und Sicherheit. Bei digitalen Alltagsaufgaben wie Kontostand prüfen, Karte sperren oder Rechnungen überweisen erwarten sie reibungslose und intuitive Abläufe. </w:t>
      </w:r>
    </w:p>
    <w:p w14:paraId="514397C8" w14:textId="77777777" w:rsidR="00370D14" w:rsidRPr="00370D14" w:rsidRDefault="00370D14" w:rsidP="00370D14">
      <w:pPr>
        <w:spacing w:line="360" w:lineRule="auto"/>
        <w:rPr>
          <w:rFonts w:ascii="Arial" w:hAnsi="Arial" w:cs="Arial"/>
          <w:sz w:val="18"/>
          <w:szCs w:val="18"/>
          <w:lang w:eastAsia="ja-JP"/>
        </w:rPr>
      </w:pPr>
    </w:p>
    <w:p w14:paraId="783C76D0" w14:textId="6FA4A12D" w:rsidR="00BC34DF" w:rsidRDefault="00370D14" w:rsidP="00370D14">
      <w:pPr>
        <w:spacing w:line="360" w:lineRule="auto"/>
        <w:rPr>
          <w:rFonts w:ascii="Arial" w:hAnsi="Arial" w:cs="Arial"/>
          <w:sz w:val="18"/>
          <w:szCs w:val="18"/>
          <w:lang w:eastAsia="ja-JP"/>
        </w:rPr>
      </w:pPr>
      <w:r w:rsidRPr="00370D14">
        <w:rPr>
          <w:rFonts w:ascii="Arial" w:hAnsi="Arial" w:cs="Arial"/>
          <w:sz w:val="18"/>
          <w:szCs w:val="18"/>
          <w:lang w:eastAsia="ja-JP"/>
        </w:rPr>
        <w:lastRenderedPageBreak/>
        <w:t>Vor allem Jüngere bevorzugen smarte Funktionen wie ein modernes Design, eine einfache Bedienung und viele Services direkt in der App</w:t>
      </w:r>
      <w:r w:rsidR="00946C10">
        <w:rPr>
          <w:rFonts w:ascii="Arial" w:hAnsi="Arial" w:cs="Arial"/>
          <w:sz w:val="18"/>
          <w:szCs w:val="18"/>
          <w:lang w:eastAsia="ja-JP"/>
        </w:rPr>
        <w:t xml:space="preserve"> –</w:t>
      </w:r>
      <w:r w:rsidR="00946C10" w:rsidRPr="00370D14">
        <w:rPr>
          <w:rFonts w:ascii="Arial" w:hAnsi="Arial" w:cs="Arial"/>
          <w:sz w:val="18"/>
          <w:szCs w:val="18"/>
          <w:lang w:eastAsia="ja-JP"/>
        </w:rPr>
        <w:t xml:space="preserve"> </w:t>
      </w:r>
      <w:r w:rsidRPr="00370D14">
        <w:rPr>
          <w:rFonts w:ascii="Arial" w:hAnsi="Arial" w:cs="Arial"/>
          <w:sz w:val="18"/>
          <w:szCs w:val="18"/>
          <w:lang w:eastAsia="ja-JP"/>
        </w:rPr>
        <w:t>von der Fotoüberweisung bis zur digitalen Dokumentenablage. Ältere hingegen legen mehr Wert auf Sicherheit und Übersicht, etwa durch klare Kontoübersichten oder unkomplizierte Freigaben. Trotz kleiner Unterschiede in den Details ist der gemeinsame Anspruch jedoch klar: Die Banking-App muss alltagstauglich sein.</w:t>
      </w:r>
    </w:p>
    <w:p w14:paraId="2E81FBCE" w14:textId="77777777" w:rsidR="000B23C6" w:rsidRDefault="000B23C6" w:rsidP="00370D14">
      <w:pPr>
        <w:spacing w:line="360" w:lineRule="auto"/>
        <w:rPr>
          <w:rFonts w:ascii="Arial" w:hAnsi="Arial" w:cs="Arial"/>
          <w:sz w:val="18"/>
          <w:szCs w:val="18"/>
          <w:lang w:eastAsia="ja-JP"/>
        </w:rPr>
      </w:pPr>
    </w:p>
    <w:p w14:paraId="19B91DC9" w14:textId="5BAE31EC" w:rsidR="00BC34DF" w:rsidRPr="00370D14" w:rsidRDefault="000B23C6" w:rsidP="00370D14">
      <w:pPr>
        <w:spacing w:line="360" w:lineRule="auto"/>
        <w:rPr>
          <w:rFonts w:ascii="Arial" w:hAnsi="Arial" w:cs="Arial"/>
          <w:sz w:val="18"/>
          <w:szCs w:val="18"/>
          <w:lang w:eastAsia="ja-JP"/>
        </w:rPr>
      </w:pPr>
      <w:r w:rsidRPr="000B23C6">
        <w:rPr>
          <w:rFonts w:ascii="Arial" w:hAnsi="Arial" w:cs="Arial"/>
          <w:noProof/>
          <w:sz w:val="18"/>
          <w:szCs w:val="18"/>
          <w:lang w:eastAsia="ja-JP"/>
        </w:rPr>
        <w:drawing>
          <wp:inline distT="0" distB="0" distL="0" distR="0" wp14:anchorId="44BE0DDD" wp14:editId="0D158178">
            <wp:extent cx="5941060" cy="3688080"/>
            <wp:effectExtent l="0" t="0" r="2540" b="7620"/>
            <wp:docPr id="935229479"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35229479" name=""/>
                    <pic:cNvPicPr/>
                  </pic:nvPicPr>
                  <pic:blipFill>
                    <a:blip r:embed="rId8">
                      <a:extLst>
                        <a:ext uri="{96DAC541-7B7A-43D3-8B79-37D633B846F1}">
                          <asvg:svgBlip xmlns:asvg="http://schemas.microsoft.com/office/drawing/2016/SVG/main" r:embed="rId9"/>
                        </a:ext>
                      </a:extLst>
                    </a:blip>
                    <a:stretch>
                      <a:fillRect/>
                    </a:stretch>
                  </pic:blipFill>
                  <pic:spPr>
                    <a:xfrm>
                      <a:off x="0" y="0"/>
                      <a:ext cx="5941060" cy="3688080"/>
                    </a:xfrm>
                    <a:prstGeom prst="rect">
                      <a:avLst/>
                    </a:prstGeom>
                  </pic:spPr>
                </pic:pic>
              </a:graphicData>
            </a:graphic>
          </wp:inline>
        </w:drawing>
      </w:r>
    </w:p>
    <w:p w14:paraId="6884FDC0" w14:textId="77777777" w:rsidR="000B23C6" w:rsidRDefault="000B23C6" w:rsidP="00370D14">
      <w:pPr>
        <w:spacing w:line="360" w:lineRule="auto"/>
        <w:rPr>
          <w:rFonts w:ascii="Arial" w:hAnsi="Arial" w:cs="Arial"/>
          <w:sz w:val="18"/>
          <w:szCs w:val="18"/>
          <w:lang w:eastAsia="ja-JP"/>
        </w:rPr>
      </w:pPr>
    </w:p>
    <w:p w14:paraId="45CB3CDE" w14:textId="0D148D7F" w:rsidR="00370D14" w:rsidRPr="00370D14" w:rsidRDefault="00370D14" w:rsidP="00370D14">
      <w:pPr>
        <w:spacing w:line="360" w:lineRule="auto"/>
        <w:rPr>
          <w:rFonts w:ascii="Arial" w:hAnsi="Arial" w:cs="Arial"/>
          <w:sz w:val="18"/>
          <w:szCs w:val="18"/>
          <w:lang w:eastAsia="ja-JP"/>
        </w:rPr>
      </w:pPr>
      <w:r w:rsidRPr="00370D14">
        <w:rPr>
          <w:rFonts w:ascii="Arial" w:hAnsi="Arial" w:cs="Arial"/>
          <w:sz w:val="18"/>
          <w:szCs w:val="18"/>
          <w:lang w:eastAsia="ja-JP"/>
        </w:rPr>
        <w:t>„Ob Echtzeit-Kontostand, intuitive Bedienung oder mobiles Bezahlen</w:t>
      </w:r>
      <w:r w:rsidR="000B5C57">
        <w:rPr>
          <w:rFonts w:ascii="Arial" w:hAnsi="Arial" w:cs="Arial"/>
          <w:sz w:val="18"/>
          <w:szCs w:val="18"/>
          <w:lang w:eastAsia="ja-JP"/>
        </w:rPr>
        <w:t>,</w:t>
      </w:r>
      <w:r w:rsidR="000B5C57" w:rsidRPr="00370D14">
        <w:rPr>
          <w:rFonts w:ascii="Arial" w:hAnsi="Arial" w:cs="Arial"/>
          <w:sz w:val="18"/>
          <w:szCs w:val="18"/>
          <w:lang w:eastAsia="ja-JP"/>
        </w:rPr>
        <w:t xml:space="preserve"> </w:t>
      </w:r>
      <w:r w:rsidR="000B5C57">
        <w:rPr>
          <w:rFonts w:ascii="Arial" w:hAnsi="Arial" w:cs="Arial"/>
          <w:sz w:val="18"/>
          <w:szCs w:val="18"/>
          <w:lang w:eastAsia="ja-JP"/>
        </w:rPr>
        <w:t>d</w:t>
      </w:r>
      <w:r w:rsidR="000B5C57" w:rsidRPr="00370D14">
        <w:rPr>
          <w:rFonts w:ascii="Arial" w:hAnsi="Arial" w:cs="Arial"/>
          <w:sz w:val="18"/>
          <w:szCs w:val="18"/>
          <w:lang w:eastAsia="ja-JP"/>
        </w:rPr>
        <w:t xml:space="preserve">igitale </w:t>
      </w:r>
      <w:r w:rsidRPr="00370D14">
        <w:rPr>
          <w:rFonts w:ascii="Arial" w:hAnsi="Arial" w:cs="Arial"/>
          <w:sz w:val="18"/>
          <w:szCs w:val="18"/>
          <w:lang w:eastAsia="ja-JP"/>
        </w:rPr>
        <w:t xml:space="preserve">Banklösungen sind aus dem Alltag der Deutschen nicht mehr wegzudenken. Vor allem jüngere und digital affine Menschen treiben diese Entwicklung weiter voran“, ergänzt Thomas Brosch, Geschäftsführer der norisbank GmbH. </w:t>
      </w:r>
    </w:p>
    <w:p w14:paraId="20EAED0A" w14:textId="77777777" w:rsidR="00370D14" w:rsidRPr="00370D14" w:rsidRDefault="00370D14" w:rsidP="00370D14">
      <w:pPr>
        <w:spacing w:line="360" w:lineRule="auto"/>
        <w:rPr>
          <w:rFonts w:ascii="Arial" w:hAnsi="Arial" w:cs="Arial"/>
          <w:sz w:val="18"/>
          <w:szCs w:val="18"/>
          <w:lang w:eastAsia="ja-JP"/>
        </w:rPr>
      </w:pPr>
    </w:p>
    <w:p w14:paraId="6F944AAF" w14:textId="40F8D187" w:rsidR="00370D14" w:rsidRPr="00370D14" w:rsidRDefault="00370D14" w:rsidP="00370D14">
      <w:pPr>
        <w:spacing w:line="360" w:lineRule="auto"/>
        <w:rPr>
          <w:rFonts w:ascii="Arial" w:hAnsi="Arial" w:cs="Arial"/>
          <w:sz w:val="18"/>
          <w:szCs w:val="18"/>
          <w:lang w:eastAsia="ja-JP"/>
        </w:rPr>
      </w:pPr>
      <w:r w:rsidRPr="00370D14">
        <w:rPr>
          <w:rFonts w:ascii="Arial" w:hAnsi="Arial" w:cs="Arial"/>
          <w:sz w:val="18"/>
          <w:szCs w:val="18"/>
          <w:lang w:eastAsia="ja-JP"/>
        </w:rPr>
        <w:t>Mit der wachsenden Nutzung steigen jedoch auch die Erwartungen. Im vergangenen Jahr hat die Mehrheit der Deutschen regelmäßig auf digitale Services zurückgegriffen und möchte dies auch 2026 fortsetzen. Sicherheit, Transparenz und eine einfache Handhabung sind für viele wichtiger denn je. Brosch: „Die Zukunft des digitalen Bankings wird aktiv von Nutzer*innen mitgestaltet, die genau wissen, was sie brauchen. Die norisbank unterstützt sie dabei mit praktischen, durchdachten Lösungen für den Alltag, die das Banking noch leichter und sicherer machen.“</w:t>
      </w:r>
    </w:p>
    <w:p w14:paraId="2702024E" w14:textId="77777777" w:rsidR="00370D14" w:rsidRPr="00370D14" w:rsidRDefault="00370D14" w:rsidP="00370D14">
      <w:pPr>
        <w:spacing w:line="360" w:lineRule="auto"/>
        <w:rPr>
          <w:rFonts w:ascii="Arial" w:hAnsi="Arial" w:cs="Arial"/>
          <w:sz w:val="18"/>
          <w:szCs w:val="18"/>
          <w:lang w:eastAsia="ja-JP"/>
        </w:rPr>
      </w:pPr>
    </w:p>
    <w:p w14:paraId="22F584CA" w14:textId="69202A92" w:rsidR="00E21965" w:rsidRDefault="00370D14" w:rsidP="00370D14">
      <w:pPr>
        <w:spacing w:line="360" w:lineRule="auto"/>
        <w:rPr>
          <w:rFonts w:ascii="Arial" w:hAnsi="Arial" w:cs="Arial"/>
          <w:color w:val="35312E"/>
          <w:sz w:val="18"/>
          <w:szCs w:val="18"/>
        </w:rPr>
      </w:pPr>
      <w:r w:rsidRPr="00370D14">
        <w:rPr>
          <w:rFonts w:ascii="Arial" w:hAnsi="Arial" w:cs="Arial"/>
          <w:sz w:val="18"/>
          <w:szCs w:val="18"/>
          <w:lang w:eastAsia="ja-JP"/>
        </w:rPr>
        <w:t xml:space="preserve">Mehr Informationen zur norisbank finden Sie unter </w:t>
      </w:r>
      <w:hyperlink r:id="rId10" w:history="1">
        <w:r w:rsidR="00AC6FF9" w:rsidRPr="00892D1D">
          <w:rPr>
            <w:rStyle w:val="Hyperlink"/>
            <w:rFonts w:ascii="Arial" w:hAnsi="Arial" w:cs="Arial"/>
            <w:sz w:val="18"/>
            <w:szCs w:val="18"/>
            <w:lang w:eastAsia="ja-JP"/>
          </w:rPr>
          <w:t>www.norisbank.de</w:t>
        </w:r>
      </w:hyperlink>
      <w:r w:rsidRPr="00370D14">
        <w:rPr>
          <w:rFonts w:ascii="Arial" w:hAnsi="Arial" w:cs="Arial"/>
          <w:sz w:val="18"/>
          <w:szCs w:val="18"/>
          <w:lang w:eastAsia="ja-JP"/>
        </w:rPr>
        <w:t>.</w:t>
      </w:r>
    </w:p>
    <w:p w14:paraId="3FF3F2EE" w14:textId="77777777" w:rsidR="00E21965" w:rsidRDefault="00E21965" w:rsidP="00E21965">
      <w:pPr>
        <w:spacing w:line="360" w:lineRule="auto"/>
        <w:rPr>
          <w:rFonts w:ascii="Arial" w:hAnsi="Arial" w:cs="Arial"/>
          <w:color w:val="35312E"/>
          <w:sz w:val="18"/>
          <w:szCs w:val="18"/>
        </w:rPr>
      </w:pPr>
    </w:p>
    <w:p w14:paraId="0CBB5B1F" w14:textId="77777777" w:rsidR="00E21965" w:rsidRPr="0047038B" w:rsidRDefault="00E21965" w:rsidP="00E21965">
      <w:pPr>
        <w:spacing w:line="360" w:lineRule="auto"/>
        <w:rPr>
          <w:rFonts w:ascii="Arial" w:hAnsi="Arial" w:cs="Arial"/>
          <w:b/>
          <w:color w:val="101920" w:themeColor="text1"/>
          <w:sz w:val="18"/>
          <w:szCs w:val="18"/>
          <w:lang w:eastAsia="ja-JP"/>
        </w:rPr>
      </w:pPr>
      <w:r w:rsidRPr="0047038B">
        <w:rPr>
          <w:rFonts w:ascii="Arial" w:hAnsi="Arial" w:cs="Arial"/>
          <w:b/>
          <w:color w:val="101920" w:themeColor="text1"/>
          <w:sz w:val="18"/>
          <w:szCs w:val="18"/>
          <w:lang w:eastAsia="ja-JP"/>
        </w:rPr>
        <w:t>Über die Umfrage</w:t>
      </w:r>
    </w:p>
    <w:p w14:paraId="0AA372C1" w14:textId="77777777" w:rsidR="00E21965" w:rsidRPr="0047038B" w:rsidRDefault="00E21965" w:rsidP="00E21965">
      <w:pPr>
        <w:spacing w:line="360" w:lineRule="auto"/>
        <w:rPr>
          <w:rFonts w:ascii="Arial" w:hAnsi="Arial" w:cs="Arial"/>
          <w:bCs/>
          <w:color w:val="101920" w:themeColor="text1"/>
          <w:sz w:val="18"/>
          <w:szCs w:val="18"/>
          <w:lang w:eastAsia="ja-JP"/>
        </w:rPr>
      </w:pPr>
      <w:r w:rsidRPr="0047038B">
        <w:rPr>
          <w:rFonts w:ascii="Arial" w:hAnsi="Arial" w:cs="Arial"/>
          <w:bCs/>
          <w:color w:val="101920" w:themeColor="text1"/>
          <w:sz w:val="18"/>
          <w:szCs w:val="18"/>
          <w:lang w:eastAsia="ja-JP"/>
        </w:rPr>
        <w:t>Die norisbank hat zusammen mit dem Marktforschungsinstitut INNOFACT AG 1.041 Personen ab 18 Jahren bevölkerungsrepräsentativ nach Geschlecht, Alter und Region befragt. Die Online-Befragung wurde Ende Oktober 2025 durchgeführt.</w:t>
      </w:r>
    </w:p>
    <w:p w14:paraId="3D295732" w14:textId="77777777" w:rsidR="00E21965" w:rsidRPr="0047038B" w:rsidRDefault="00E21965" w:rsidP="00E21965">
      <w:pPr>
        <w:spacing w:line="360" w:lineRule="auto"/>
        <w:rPr>
          <w:rFonts w:ascii="Arial" w:hAnsi="Arial" w:cs="Arial"/>
          <w:b/>
          <w:color w:val="101920" w:themeColor="text1"/>
          <w:sz w:val="18"/>
          <w:szCs w:val="18"/>
          <w:lang w:eastAsia="ja-JP"/>
        </w:rPr>
      </w:pPr>
    </w:p>
    <w:p w14:paraId="1A68FA6D" w14:textId="77777777" w:rsidR="001750BF" w:rsidRPr="006D436B" w:rsidRDefault="001750BF" w:rsidP="001750BF">
      <w:pPr>
        <w:spacing w:line="360" w:lineRule="auto"/>
        <w:rPr>
          <w:rFonts w:ascii="Arial" w:hAnsi="Arial" w:cs="Arial"/>
          <w:b/>
          <w:color w:val="101920" w:themeColor="text1"/>
          <w:sz w:val="18"/>
          <w:szCs w:val="18"/>
          <w:lang w:eastAsia="ja-JP"/>
        </w:rPr>
      </w:pPr>
      <w:r w:rsidRPr="006D436B">
        <w:rPr>
          <w:rFonts w:ascii="Arial" w:hAnsi="Arial" w:cs="Arial"/>
          <w:b/>
          <w:color w:val="101920" w:themeColor="text1"/>
          <w:sz w:val="18"/>
          <w:szCs w:val="18"/>
          <w:lang w:eastAsia="ja-JP"/>
        </w:rPr>
        <w:lastRenderedPageBreak/>
        <w:t>Über die norisbank</w:t>
      </w:r>
    </w:p>
    <w:p w14:paraId="485BE51D" w14:textId="03AD4B30" w:rsidR="001750BF" w:rsidRPr="006D436B" w:rsidRDefault="001750BF" w:rsidP="001750BF">
      <w:pPr>
        <w:spacing w:line="360" w:lineRule="auto"/>
        <w:rPr>
          <w:rFonts w:ascii="Arial" w:hAnsi="Arial" w:cs="Arial"/>
          <w:color w:val="101920" w:themeColor="text1"/>
          <w:sz w:val="18"/>
          <w:szCs w:val="18"/>
        </w:rPr>
      </w:pPr>
      <w:r w:rsidRPr="006D436B">
        <w:rPr>
          <w:rFonts w:ascii="Arial" w:hAnsi="Arial" w:cs="Arial"/>
          <w:color w:val="101920" w:themeColor="text1"/>
          <w:sz w:val="18"/>
          <w:szCs w:val="18"/>
        </w:rPr>
        <w:t xml:space="preserve">Die norisbank – ein Unternehmen der Deutsche Bank Gruppe – ist eine moderne Direktbank, die ihren Kunden an </w:t>
      </w:r>
      <w:r w:rsidR="00E67105">
        <w:rPr>
          <w:rFonts w:ascii="Arial" w:hAnsi="Arial" w:cs="Arial"/>
          <w:color w:val="101920" w:themeColor="text1"/>
          <w:sz w:val="18"/>
          <w:szCs w:val="18"/>
        </w:rPr>
        <w:br/>
      </w:r>
      <w:r w:rsidRPr="006D436B">
        <w:rPr>
          <w:rFonts w:ascii="Arial" w:hAnsi="Arial" w:cs="Arial"/>
          <w:color w:val="101920" w:themeColor="text1"/>
          <w:sz w:val="18"/>
          <w:szCs w:val="18"/>
        </w:rPr>
        <w:t xml:space="preserve">7 Tagen die Woche 24 Stunden zur Verfügung steht. Sie bietet ihren Kunden Produkte und Services in Testsieger-Qualität zu stets attraktiven Konditionen. </w:t>
      </w:r>
      <w:r w:rsidRPr="009935C2">
        <w:rPr>
          <w:rFonts w:ascii="Arial" w:hAnsi="Arial" w:cs="Arial"/>
          <w:color w:val="101920" w:themeColor="text1"/>
          <w:sz w:val="18"/>
          <w:szCs w:val="18"/>
        </w:rPr>
        <w:t xml:space="preserve">Neben den Kernangeboten – dem leistungsstarken „Top-Girokonto“ ab </w:t>
      </w:r>
      <w:r w:rsidR="00E67105">
        <w:rPr>
          <w:rFonts w:ascii="Arial" w:hAnsi="Arial" w:cs="Arial"/>
          <w:color w:val="101920" w:themeColor="text1"/>
          <w:sz w:val="18"/>
          <w:szCs w:val="18"/>
        </w:rPr>
        <w:br/>
      </w:r>
      <w:r w:rsidRPr="009935C2">
        <w:rPr>
          <w:rFonts w:ascii="Arial" w:hAnsi="Arial" w:cs="Arial"/>
          <w:color w:val="101920" w:themeColor="text1"/>
          <w:sz w:val="18"/>
          <w:szCs w:val="18"/>
        </w:rPr>
        <w:t>0 Euro mit passender Kredit- oder Debitkarte</w:t>
      </w:r>
      <w:r>
        <w:rPr>
          <w:rFonts w:ascii="Arial" w:hAnsi="Arial" w:cs="Arial"/>
          <w:color w:val="101920" w:themeColor="text1"/>
          <w:sz w:val="18"/>
          <w:szCs w:val="18"/>
        </w:rPr>
        <w:t>, den attraktiven Tagesgeld-Angeboten</w:t>
      </w:r>
      <w:r w:rsidRPr="009935C2">
        <w:rPr>
          <w:rFonts w:ascii="Arial" w:hAnsi="Arial" w:cs="Arial"/>
          <w:color w:val="101920" w:themeColor="text1"/>
          <w:sz w:val="18"/>
          <w:szCs w:val="18"/>
        </w:rPr>
        <w:t xml:space="preserve"> sowie dem </w:t>
      </w:r>
      <w:r>
        <w:rPr>
          <w:rFonts w:ascii="Arial" w:hAnsi="Arial" w:cs="Arial"/>
          <w:color w:val="101920" w:themeColor="text1"/>
          <w:sz w:val="18"/>
          <w:szCs w:val="18"/>
        </w:rPr>
        <w:t>individuellen</w:t>
      </w:r>
      <w:r w:rsidRPr="009935C2">
        <w:rPr>
          <w:rFonts w:ascii="Arial" w:hAnsi="Arial" w:cs="Arial"/>
          <w:color w:val="101920" w:themeColor="text1"/>
          <w:sz w:val="18"/>
          <w:szCs w:val="18"/>
        </w:rPr>
        <w:t xml:space="preserve"> „Top-Kredit“ – </w:t>
      </w:r>
      <w:r>
        <w:rPr>
          <w:rFonts w:ascii="Arial" w:hAnsi="Arial" w:cs="Arial"/>
          <w:color w:val="101920" w:themeColor="text1"/>
          <w:sz w:val="18"/>
          <w:szCs w:val="18"/>
        </w:rPr>
        <w:t>bietet die norisbank ihren Kunden</w:t>
      </w:r>
      <w:r w:rsidRPr="009935C2">
        <w:rPr>
          <w:rFonts w:ascii="Arial" w:hAnsi="Arial" w:cs="Arial"/>
          <w:color w:val="101920" w:themeColor="text1"/>
          <w:sz w:val="18"/>
          <w:szCs w:val="18"/>
        </w:rPr>
        <w:t xml:space="preserve"> breit gefächerte Leistungen</w:t>
      </w:r>
      <w:r>
        <w:rPr>
          <w:rFonts w:ascii="Arial" w:hAnsi="Arial" w:cs="Arial"/>
          <w:color w:val="101920" w:themeColor="text1"/>
          <w:sz w:val="18"/>
          <w:szCs w:val="18"/>
        </w:rPr>
        <w:t xml:space="preserve"> in anerkannter Qualität</w:t>
      </w:r>
      <w:r w:rsidRPr="009935C2">
        <w:rPr>
          <w:rFonts w:ascii="Arial" w:hAnsi="Arial" w:cs="Arial"/>
          <w:color w:val="101920" w:themeColor="text1"/>
          <w:sz w:val="18"/>
          <w:szCs w:val="18"/>
        </w:rPr>
        <w:t xml:space="preserve"> zu exzellenten Konditionen</w:t>
      </w:r>
      <w:r w:rsidRPr="005A2EFF">
        <w:rPr>
          <w:rFonts w:ascii="Arial" w:hAnsi="Arial" w:cs="Arial"/>
          <w:color w:val="101920" w:themeColor="text1"/>
          <w:sz w:val="18"/>
          <w:szCs w:val="18"/>
        </w:rPr>
        <w:t>.</w:t>
      </w:r>
    </w:p>
    <w:p w14:paraId="08716840" w14:textId="77777777" w:rsidR="001750BF" w:rsidRPr="006D436B" w:rsidRDefault="001750BF" w:rsidP="001750BF">
      <w:pPr>
        <w:spacing w:line="360" w:lineRule="auto"/>
        <w:rPr>
          <w:rFonts w:ascii="Arial" w:hAnsi="Arial" w:cs="Arial"/>
          <w:color w:val="101920" w:themeColor="text1"/>
          <w:sz w:val="18"/>
          <w:szCs w:val="18"/>
        </w:rPr>
      </w:pPr>
    </w:p>
    <w:p w14:paraId="01B90325" w14:textId="77777777" w:rsidR="001750BF" w:rsidRPr="00882707" w:rsidRDefault="001750BF" w:rsidP="001750BF">
      <w:pPr>
        <w:spacing w:line="360" w:lineRule="auto"/>
        <w:rPr>
          <w:rFonts w:ascii="Arial" w:hAnsi="Arial" w:cs="Arial"/>
          <w:sz w:val="18"/>
          <w:szCs w:val="18"/>
          <w:lang w:eastAsia="ja-JP"/>
        </w:rPr>
      </w:pPr>
      <w:r w:rsidRPr="006D436B">
        <w:rPr>
          <w:rFonts w:ascii="Arial" w:hAnsi="Arial" w:cs="Arial"/>
          <w:color w:val="101920" w:themeColor="text1"/>
          <w:sz w:val="18"/>
          <w:szCs w:val="18"/>
        </w:rPr>
        <w:t>Für ihre kundenorientierten</w:t>
      </w:r>
      <w:r>
        <w:rPr>
          <w:rFonts w:ascii="Arial" w:hAnsi="Arial" w:cs="Arial"/>
          <w:color w:val="101920" w:themeColor="text1"/>
          <w:sz w:val="18"/>
          <w:szCs w:val="18"/>
        </w:rPr>
        <w:t>, leistungsstarken</w:t>
      </w:r>
      <w:r w:rsidRPr="006D436B">
        <w:rPr>
          <w:rFonts w:ascii="Arial" w:hAnsi="Arial" w:cs="Arial"/>
          <w:color w:val="101920" w:themeColor="text1"/>
          <w:sz w:val="18"/>
          <w:szCs w:val="18"/>
        </w:rPr>
        <w:t xml:space="preserve"> Angebote wurde die norisbank in den letzten Jahren vielfach prämiert. So belegte unter anderem das norisbank Top-Girokonto beim großen Girokonten-Vergleich 202</w:t>
      </w:r>
      <w:r>
        <w:rPr>
          <w:rFonts w:ascii="Arial" w:hAnsi="Arial" w:cs="Arial"/>
          <w:color w:val="101920" w:themeColor="text1"/>
          <w:sz w:val="18"/>
          <w:szCs w:val="18"/>
        </w:rPr>
        <w:t>5</w:t>
      </w:r>
      <w:r w:rsidRPr="006D436B">
        <w:rPr>
          <w:rFonts w:ascii="Arial" w:hAnsi="Arial" w:cs="Arial"/>
          <w:color w:val="101920" w:themeColor="text1"/>
          <w:sz w:val="18"/>
          <w:szCs w:val="18"/>
        </w:rPr>
        <w:t xml:space="preserve"> von €uro Platz 1. 202</w:t>
      </w:r>
      <w:r>
        <w:rPr>
          <w:rFonts w:ascii="Arial" w:hAnsi="Arial" w:cs="Arial"/>
          <w:color w:val="101920" w:themeColor="text1"/>
          <w:sz w:val="18"/>
          <w:szCs w:val="18"/>
        </w:rPr>
        <w:t>5</w:t>
      </w:r>
      <w:r w:rsidRPr="006D436B">
        <w:rPr>
          <w:rFonts w:ascii="Arial" w:hAnsi="Arial" w:cs="Arial"/>
          <w:color w:val="101920" w:themeColor="text1"/>
          <w:sz w:val="18"/>
          <w:szCs w:val="18"/>
        </w:rPr>
        <w:t xml:space="preserve"> </w:t>
      </w:r>
      <w:r>
        <w:rPr>
          <w:rFonts w:ascii="Arial" w:hAnsi="Arial" w:cs="Arial"/>
          <w:color w:val="101920" w:themeColor="text1"/>
          <w:sz w:val="18"/>
          <w:szCs w:val="18"/>
        </w:rPr>
        <w:t xml:space="preserve">verlieh </w:t>
      </w:r>
      <w:r w:rsidRPr="006D436B">
        <w:rPr>
          <w:rFonts w:ascii="Arial" w:hAnsi="Arial" w:cs="Arial"/>
          <w:color w:val="101920" w:themeColor="text1"/>
          <w:sz w:val="18"/>
          <w:szCs w:val="18"/>
        </w:rPr>
        <w:t xml:space="preserve">Focus Money </w:t>
      </w:r>
      <w:r w:rsidRPr="008616A8">
        <w:rPr>
          <w:rFonts w:ascii="Arial" w:hAnsi="Arial" w:cs="Arial"/>
          <w:color w:val="101920" w:themeColor="text1"/>
          <w:sz w:val="18"/>
          <w:szCs w:val="18"/>
        </w:rPr>
        <w:t xml:space="preserve">auf Basis eines deutschlandweiten Tests </w:t>
      </w:r>
      <w:r>
        <w:rPr>
          <w:rFonts w:ascii="Arial" w:hAnsi="Arial" w:cs="Arial"/>
          <w:color w:val="101920" w:themeColor="text1"/>
          <w:sz w:val="18"/>
          <w:szCs w:val="18"/>
        </w:rPr>
        <w:t xml:space="preserve">der </w:t>
      </w:r>
      <w:r w:rsidRPr="006D436B">
        <w:rPr>
          <w:rFonts w:ascii="Arial" w:hAnsi="Arial" w:cs="Arial"/>
          <w:color w:val="101920" w:themeColor="text1"/>
          <w:sz w:val="18"/>
          <w:szCs w:val="18"/>
        </w:rPr>
        <w:t>norisbank</w:t>
      </w:r>
      <w:r>
        <w:rPr>
          <w:rFonts w:ascii="Arial" w:hAnsi="Arial" w:cs="Arial"/>
          <w:color w:val="101920" w:themeColor="text1"/>
          <w:sz w:val="18"/>
          <w:szCs w:val="18"/>
        </w:rPr>
        <w:t xml:space="preserve"> überdies</w:t>
      </w:r>
      <w:r w:rsidRPr="006D436B">
        <w:rPr>
          <w:rFonts w:ascii="Arial" w:hAnsi="Arial" w:cs="Arial"/>
          <w:color w:val="101920" w:themeColor="text1"/>
          <w:sz w:val="18"/>
          <w:szCs w:val="18"/>
        </w:rPr>
        <w:t xml:space="preserve"> </w:t>
      </w:r>
      <w:r>
        <w:rPr>
          <w:rFonts w:ascii="Arial" w:hAnsi="Arial" w:cs="Arial"/>
          <w:color w:val="101920" w:themeColor="text1"/>
          <w:sz w:val="18"/>
          <w:szCs w:val="18"/>
        </w:rPr>
        <w:t>die Auszeichnung</w:t>
      </w:r>
      <w:r w:rsidRPr="006D436B">
        <w:rPr>
          <w:rFonts w:ascii="Arial" w:hAnsi="Arial" w:cs="Arial"/>
          <w:color w:val="101920" w:themeColor="text1"/>
          <w:sz w:val="18"/>
          <w:szCs w:val="18"/>
        </w:rPr>
        <w:t xml:space="preserve"> „Deutschlands beste</w:t>
      </w:r>
      <w:r>
        <w:rPr>
          <w:rFonts w:ascii="Arial" w:hAnsi="Arial" w:cs="Arial"/>
          <w:color w:val="101920" w:themeColor="text1"/>
          <w:sz w:val="18"/>
          <w:szCs w:val="18"/>
        </w:rPr>
        <w:t xml:space="preserve"> </w:t>
      </w:r>
      <w:r w:rsidRPr="006D436B">
        <w:rPr>
          <w:rFonts w:ascii="Arial" w:hAnsi="Arial" w:cs="Arial"/>
          <w:color w:val="101920" w:themeColor="text1"/>
          <w:sz w:val="18"/>
          <w:szCs w:val="18"/>
        </w:rPr>
        <w:t>Direktbank“. Vielfache weitere Auszeichnungen bestätigen darüber hinaus die Top-Qualität und das hervorragende Preis-Leistungs-Verhältnis der norisbank:</w:t>
      </w:r>
      <w:r>
        <w:rPr>
          <w:rFonts w:ascii="Arial" w:hAnsi="Arial" w:cs="Arial"/>
          <w:color w:val="101920" w:themeColor="text1"/>
          <w:sz w:val="18"/>
          <w:szCs w:val="18"/>
        </w:rPr>
        <w:t xml:space="preserve"> </w:t>
      </w:r>
      <w:hyperlink r:id="rId11" w:history="1">
        <w:r w:rsidRPr="002B5CE2">
          <w:rPr>
            <w:rStyle w:val="Hyperlink"/>
            <w:rFonts w:ascii="Arial" w:hAnsi="Arial" w:cs="Arial"/>
            <w:sz w:val="18"/>
            <w:szCs w:val="18"/>
          </w:rPr>
          <w:t>https://www.norisbank.de/ueber-uns/norisbank/auszeichnungen.html</w:t>
        </w:r>
      </w:hyperlink>
    </w:p>
    <w:p w14:paraId="31BA5625" w14:textId="77777777" w:rsidR="001750BF" w:rsidRPr="00882707" w:rsidRDefault="001750BF" w:rsidP="001750BF">
      <w:pPr>
        <w:spacing w:line="360" w:lineRule="auto"/>
        <w:rPr>
          <w:rFonts w:ascii="Arial" w:hAnsi="Arial" w:cs="Arial"/>
          <w:sz w:val="18"/>
          <w:szCs w:val="18"/>
          <w:lang w:eastAsia="ja-JP"/>
        </w:rPr>
      </w:pPr>
    </w:p>
    <w:p w14:paraId="14D804D2" w14:textId="548789A8" w:rsidR="00B36151" w:rsidRPr="00F17431" w:rsidRDefault="001750BF" w:rsidP="001750BF">
      <w:pPr>
        <w:spacing w:line="360" w:lineRule="auto"/>
        <w:rPr>
          <w:rFonts w:ascii="Arial" w:hAnsi="Arial" w:cs="Arial"/>
          <w:sz w:val="18"/>
          <w:szCs w:val="18"/>
        </w:rPr>
      </w:pPr>
      <w:r w:rsidRPr="00882707">
        <w:rPr>
          <w:rFonts w:ascii="Arial" w:hAnsi="Arial" w:cs="Arial"/>
          <w:b/>
          <w:sz w:val="18"/>
          <w:szCs w:val="18"/>
        </w:rPr>
        <w:t xml:space="preserve">Pressekontakt der norisbank: </w:t>
      </w:r>
      <w:r w:rsidRPr="00882707">
        <w:rPr>
          <w:rFonts w:ascii="Arial" w:hAnsi="Arial" w:cs="Arial"/>
          <w:b/>
          <w:sz w:val="18"/>
          <w:szCs w:val="18"/>
        </w:rPr>
        <w:br/>
      </w:r>
      <w:r w:rsidRPr="00882707">
        <w:rPr>
          <w:rFonts w:ascii="Arial" w:hAnsi="Arial" w:cs="Arial"/>
          <w:sz w:val="18"/>
          <w:szCs w:val="18"/>
        </w:rPr>
        <w:t>Christian Jacobs</w:t>
      </w:r>
      <w:r w:rsidRPr="00882707">
        <w:rPr>
          <w:rFonts w:ascii="Arial" w:hAnsi="Arial" w:cs="Arial"/>
          <w:sz w:val="18"/>
          <w:szCs w:val="18"/>
        </w:rPr>
        <w:br/>
        <w:t>Kommunikation &amp; Presse</w:t>
      </w:r>
      <w:r w:rsidRPr="00882707">
        <w:rPr>
          <w:rFonts w:ascii="Arial" w:hAnsi="Arial" w:cs="Arial"/>
          <w:sz w:val="18"/>
          <w:szCs w:val="18"/>
        </w:rPr>
        <w:br/>
      </w:r>
      <w:r w:rsidRPr="0047038B">
        <w:rPr>
          <w:rFonts w:ascii="Arial" w:hAnsi="Arial" w:cs="Arial"/>
          <w:bCs/>
          <w:color w:val="101920" w:themeColor="text1"/>
          <w:sz w:val="18"/>
          <w:szCs w:val="18"/>
          <w:lang w:eastAsia="ja-JP"/>
        </w:rPr>
        <w:t>Bundeskanzlerplatz 4, 53113 Bonn</w:t>
      </w:r>
      <w:r w:rsidRPr="0047038B">
        <w:rPr>
          <w:rFonts w:ascii="Arial" w:hAnsi="Arial" w:cs="Arial"/>
          <w:bCs/>
          <w:color w:val="101920" w:themeColor="text1"/>
          <w:sz w:val="18"/>
          <w:szCs w:val="18"/>
          <w:lang w:eastAsia="ja-JP"/>
        </w:rPr>
        <w:br/>
      </w:r>
      <w:r w:rsidRPr="00882707">
        <w:rPr>
          <w:rFonts w:ascii="Arial" w:hAnsi="Arial" w:cs="Arial"/>
          <w:sz w:val="18"/>
          <w:szCs w:val="18"/>
        </w:rPr>
        <w:t>Tel.: +49 228 280-45190</w:t>
      </w:r>
      <w:r w:rsidRPr="00882707">
        <w:rPr>
          <w:rFonts w:ascii="Arial" w:hAnsi="Arial" w:cs="Arial"/>
          <w:sz w:val="18"/>
          <w:szCs w:val="18"/>
        </w:rPr>
        <w:br/>
        <w:t xml:space="preserve">E-Mail: </w:t>
      </w:r>
      <w:hyperlink r:id="rId12" w:history="1">
        <w:r w:rsidRPr="00882707">
          <w:rPr>
            <w:rStyle w:val="Hyperlink"/>
            <w:rFonts w:ascii="Arial" w:hAnsi="Arial" w:cs="Arial"/>
            <w:sz w:val="18"/>
            <w:szCs w:val="18"/>
          </w:rPr>
          <w:t>christian-a.jacobs@norisbank.de</w:t>
        </w:r>
      </w:hyperlink>
    </w:p>
    <w:sectPr w:rsidR="00B36151" w:rsidRPr="00F17431" w:rsidSect="001C2D1F">
      <w:headerReference w:type="default" r:id="rId13"/>
      <w:footerReference w:type="default" r:id="rId14"/>
      <w:headerReference w:type="first" r:id="rId15"/>
      <w:footerReference w:type="first" r:id="rId16"/>
      <w:pgSz w:w="11906" w:h="16838" w:code="9"/>
      <w:pgMar w:top="2268" w:right="1132" w:bottom="1276" w:left="1418" w:header="567" w:footer="28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14E0B2" w14:textId="77777777" w:rsidR="00164570" w:rsidRDefault="00164570">
      <w:r>
        <w:separator/>
      </w:r>
    </w:p>
  </w:endnote>
  <w:endnote w:type="continuationSeparator" w:id="0">
    <w:p w14:paraId="693ADF02" w14:textId="77777777" w:rsidR="00164570" w:rsidRDefault="001645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utscheBank">
    <w:altName w:val="Calibri"/>
    <w:panose1 w:val="020B0503020202030204"/>
    <w:charset w:val="00"/>
    <w:family w:val="swiss"/>
    <w:pitch w:val="variable"/>
    <w:sig w:usb0="A00002EF" w:usb1="4000003B" w:usb2="00000020" w:usb3="00000000" w:csb0="0000009F" w:csb1="00000000"/>
  </w:font>
  <w:font w:name="Arial">
    <w:panose1 w:val="020B0604020202020204"/>
    <w:charset w:val="00"/>
    <w:family w:val="swiss"/>
    <w:pitch w:val="variable"/>
    <w:sig w:usb0="E0002EFF" w:usb1="C000785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Deutsche Bank Text">
    <w:panose1 w:val="020B0503020202030204"/>
    <w:charset w:val="00"/>
    <w:family w:val="swiss"/>
    <w:pitch w:val="variable"/>
    <w:sig w:usb0="A000006F" w:usb1="0000006B" w:usb2="00000028"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Source Sans 3">
    <w:altName w:val="Calibri"/>
    <w:charset w:val="00"/>
    <w:family w:val="swiss"/>
    <w:pitch w:val="variable"/>
    <w:sig w:usb0="E00002FF" w:usb1="00002003" w:usb2="00000000" w:usb3="00000000" w:csb0="0000019F" w:csb1="00000000"/>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E8ED7C" w14:textId="77777777" w:rsidR="005F31A3" w:rsidRDefault="005F31A3" w:rsidP="00B276A2">
    <w:pPr>
      <w:pStyle w:val="Fuzeile"/>
    </w:pPr>
  </w:p>
  <w:p w14:paraId="5DEB7D78" w14:textId="77777777" w:rsidR="005F31A3" w:rsidRDefault="005F31A3"/>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E85E28" w14:textId="30FF4B94" w:rsidR="0079519B" w:rsidRDefault="0079519B" w:rsidP="0079519B">
    <w:pPr>
      <w:rPr>
        <w:rFonts w:ascii="Source Sans 3" w:hAnsi="Source Sans 3"/>
        <w:sz w:val="16"/>
        <w:szCs w:val="22"/>
      </w:rPr>
    </w:pPr>
    <w:r w:rsidRPr="00E716D0">
      <w:rPr>
        <w:rFonts w:ascii="Source Sans 3" w:hAnsi="Source Sans 3"/>
        <w:sz w:val="16"/>
        <w:szCs w:val="22"/>
      </w:rPr>
      <w:tab/>
    </w:r>
    <w:r w:rsidRPr="00E716D0">
      <w:rPr>
        <w:rFonts w:ascii="Source Sans 3" w:hAnsi="Source Sans 3"/>
        <w:sz w:val="16"/>
        <w:szCs w:val="22"/>
      </w:rPr>
      <w:tab/>
    </w:r>
    <w:r w:rsidRPr="00E716D0">
      <w:rPr>
        <w:rFonts w:ascii="Source Sans 3" w:hAnsi="Source Sans 3"/>
        <w:sz w:val="16"/>
        <w:szCs w:val="22"/>
      </w:rPr>
      <w:tab/>
    </w:r>
  </w:p>
  <w:p w14:paraId="7E3E5CFD" w14:textId="77777777" w:rsidR="0079519B" w:rsidRDefault="0079519B" w:rsidP="0079519B">
    <w:pPr>
      <w:rPr>
        <w:rFonts w:ascii="Source Sans 3" w:hAnsi="Source Sans 3"/>
        <w:sz w:val="16"/>
        <w:szCs w:val="22"/>
      </w:rPr>
    </w:pPr>
  </w:p>
  <w:p w14:paraId="5A536F81" w14:textId="77777777" w:rsidR="0079519B" w:rsidRPr="0079519B" w:rsidRDefault="0079519B" w:rsidP="0079519B">
    <w:pPr>
      <w:rPr>
        <w:rFonts w:ascii="Source Sans 3" w:hAnsi="Source Sans 3"/>
        <w:sz w:val="16"/>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3F4D4D" w14:textId="77777777" w:rsidR="00164570" w:rsidRDefault="00164570">
      <w:r>
        <w:separator/>
      </w:r>
    </w:p>
  </w:footnote>
  <w:footnote w:type="continuationSeparator" w:id="0">
    <w:p w14:paraId="6DC81A6F" w14:textId="77777777" w:rsidR="00164570" w:rsidRDefault="0016457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C25120" w14:textId="52EF08E6" w:rsidR="005F31A3" w:rsidRDefault="00424FC7">
    <w:r>
      <w:rPr>
        <w:noProof/>
      </w:rPr>
      <w:drawing>
        <wp:anchor distT="0" distB="0" distL="114300" distR="114300" simplePos="0" relativeHeight="251662336" behindDoc="1" locked="1" layoutInCell="1" allowOverlap="1" wp14:anchorId="37354409" wp14:editId="38EB3135">
          <wp:simplePos x="0" y="0"/>
          <wp:positionH relativeFrom="column">
            <wp:posOffset>-883285</wp:posOffset>
          </wp:positionH>
          <wp:positionV relativeFrom="page">
            <wp:posOffset>6350</wp:posOffset>
          </wp:positionV>
          <wp:extent cx="7536815" cy="10665460"/>
          <wp:effectExtent l="0" t="0" r="0" b="0"/>
          <wp:wrapNone/>
          <wp:docPr id="1180277184"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7371728" name="Grafik 3"/>
                  <pic:cNvPicPr/>
                </pic:nvPicPr>
                <pic:blipFill>
                  <a:blip r:embed="rId1"/>
                  <a:stretch>
                    <a:fillRect/>
                  </a:stretch>
                </pic:blipFill>
                <pic:spPr>
                  <a:xfrm>
                    <a:off x="0" y="0"/>
                    <a:ext cx="7536815" cy="10665460"/>
                  </a:xfrm>
                  <a:prstGeom prst="rect">
                    <a:avLst/>
                  </a:prstGeom>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F72229" w14:textId="77777777" w:rsidR="005F31A3" w:rsidRDefault="005F31A3" w:rsidP="00990D55">
    <w:pPr>
      <w:framePr w:w="184" w:h="2939" w:hRule="exact" w:hSpace="142" w:wrap="notBeside" w:vAnchor="page" w:hAnchor="page" w:x="1248" w:y="2348"/>
    </w:pPr>
  </w:p>
  <w:p w14:paraId="5EE667F1" w14:textId="77777777" w:rsidR="003F0249" w:rsidRPr="00E46EAA" w:rsidRDefault="003F0249" w:rsidP="00990D55">
    <w:pPr>
      <w:framePr w:w="184" w:h="2939" w:hRule="exact" w:hSpace="142" w:wrap="notBeside" w:vAnchor="page" w:hAnchor="page" w:x="1248" w:y="2348"/>
    </w:pPr>
  </w:p>
  <w:p w14:paraId="3A52BC08" w14:textId="3BD4527A" w:rsidR="005F31A3" w:rsidRPr="00350EAC" w:rsidRDefault="00E7643E" w:rsidP="003875CD">
    <w:pPr>
      <w:pStyle w:val="Identifier"/>
    </w:pPr>
    <w:r>
      <w:drawing>
        <wp:anchor distT="0" distB="0" distL="114300" distR="114300" simplePos="0" relativeHeight="251660288" behindDoc="1" locked="1" layoutInCell="1" allowOverlap="1" wp14:anchorId="4D868DE1" wp14:editId="0347A49F">
          <wp:simplePos x="0" y="0"/>
          <wp:positionH relativeFrom="column">
            <wp:posOffset>-900430</wp:posOffset>
          </wp:positionH>
          <wp:positionV relativeFrom="page">
            <wp:posOffset>18415</wp:posOffset>
          </wp:positionV>
          <wp:extent cx="7536815" cy="10665460"/>
          <wp:effectExtent l="0" t="0" r="0" b="0"/>
          <wp:wrapNone/>
          <wp:docPr id="267371728"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7371728" name="Grafik 3"/>
                  <pic:cNvPicPr/>
                </pic:nvPicPr>
                <pic:blipFill>
                  <a:blip r:embed="rId1"/>
                  <a:stretch>
                    <a:fillRect/>
                  </a:stretch>
                </pic:blipFill>
                <pic:spPr>
                  <a:xfrm>
                    <a:off x="0" y="0"/>
                    <a:ext cx="7536815" cy="10665460"/>
                  </a:xfrm>
                  <a:prstGeom prst="rect">
                    <a:avLst/>
                  </a:prstGeom>
                </pic:spPr>
              </pic:pic>
            </a:graphicData>
          </a:graphic>
          <wp14:sizeRelH relativeFrom="page">
            <wp14:pctWidth>0</wp14:pctWidth>
          </wp14:sizeRelH>
          <wp14:sizeRelV relativeFrom="page">
            <wp14:pctHeight>0</wp14:pctHeight>
          </wp14:sizeRelV>
        </wp:anchor>
      </w:drawing>
    </w:r>
    <w:r w:rsidR="004F5A24">
      <w:br/>
    </w:r>
    <w:r w:rsidR="00751015" w:rsidRPr="004F5A24">
      <mc:AlternateContent>
        <mc:Choice Requires="wps">
          <w:drawing>
            <wp:anchor distT="0" distB="0" distL="114300" distR="114300" simplePos="0" relativeHeight="251655168" behindDoc="0" locked="1" layoutInCell="0" allowOverlap="1" wp14:anchorId="07975089" wp14:editId="54CBDFCF">
              <wp:simplePos x="0" y="0"/>
              <wp:positionH relativeFrom="page">
                <wp:posOffset>0</wp:posOffset>
              </wp:positionH>
              <wp:positionV relativeFrom="page">
                <wp:posOffset>3776980</wp:posOffset>
              </wp:positionV>
              <wp:extent cx="179705" cy="3810"/>
              <wp:effectExtent l="0" t="0" r="1270" b="635"/>
              <wp:wrapNone/>
              <wp:docPr id="1" name="Rectangle 2">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9705" cy="381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1330508" id="Rectangle 2" o:spid="_x0000_s1026" alt="&quot;&quot;" style="position:absolute;margin-left:0;margin-top:297.4pt;width:14.15pt;height:.3pt;z-index:2516551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" o:allowincell="f" fillcolor="black" stroked="f">
              <w10:wrap anchorx="page" anchory="page"/>
              <w10:anchorlock/>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22B84210"/>
    <w:lvl w:ilvl="0">
      <w:start w:val="1"/>
      <w:numFmt w:val="bullet"/>
      <w:lvlText w:val=""/>
      <w:lvlJc w:val="left"/>
      <w:pPr>
        <w:tabs>
          <w:tab w:val="num" w:pos="1492"/>
        </w:tabs>
        <w:ind w:left="1492" w:hanging="360"/>
      </w:pPr>
      <w:rPr>
        <w:rFonts w:ascii="Symbol" w:hAnsi="Symbol" w:hint="default"/>
      </w:rPr>
    </w:lvl>
  </w:abstractNum>
  <w:abstractNum w:abstractNumId="1" w15:restartNumberingAfterBreak="0">
    <w:nsid w:val="FFFFFF81"/>
    <w:multiLevelType w:val="singleLevel"/>
    <w:tmpl w:val="9C0ABB22"/>
    <w:lvl w:ilvl="0">
      <w:start w:val="1"/>
      <w:numFmt w:val="bullet"/>
      <w:lvlText w:val=""/>
      <w:lvlJc w:val="left"/>
      <w:pPr>
        <w:tabs>
          <w:tab w:val="num" w:pos="1209"/>
        </w:tabs>
        <w:ind w:left="1209" w:hanging="360"/>
      </w:pPr>
      <w:rPr>
        <w:rFonts w:ascii="Symbol" w:hAnsi="Symbol" w:hint="default"/>
      </w:rPr>
    </w:lvl>
  </w:abstractNum>
  <w:abstractNum w:abstractNumId="2" w15:restartNumberingAfterBreak="0">
    <w:nsid w:val="FFFFFF82"/>
    <w:multiLevelType w:val="singleLevel"/>
    <w:tmpl w:val="8B86F47C"/>
    <w:lvl w:ilvl="0">
      <w:start w:val="1"/>
      <w:numFmt w:val="bullet"/>
      <w:lvlText w:val=""/>
      <w:lvlJc w:val="left"/>
      <w:pPr>
        <w:tabs>
          <w:tab w:val="num" w:pos="926"/>
        </w:tabs>
        <w:ind w:left="926" w:hanging="360"/>
      </w:pPr>
      <w:rPr>
        <w:rFonts w:ascii="Symbol" w:hAnsi="Symbol" w:hint="default"/>
      </w:rPr>
    </w:lvl>
  </w:abstractNum>
  <w:abstractNum w:abstractNumId="3" w15:restartNumberingAfterBreak="0">
    <w:nsid w:val="FFFFFF83"/>
    <w:multiLevelType w:val="singleLevel"/>
    <w:tmpl w:val="4796953A"/>
    <w:lvl w:ilvl="0">
      <w:start w:val="1"/>
      <w:numFmt w:val="bullet"/>
      <w:lvlText w:val=""/>
      <w:lvlJc w:val="left"/>
      <w:pPr>
        <w:tabs>
          <w:tab w:val="num" w:pos="643"/>
        </w:tabs>
        <w:ind w:left="643" w:hanging="360"/>
      </w:pPr>
      <w:rPr>
        <w:rFonts w:ascii="Symbol" w:hAnsi="Symbol" w:hint="default"/>
      </w:rPr>
    </w:lvl>
  </w:abstractNum>
  <w:abstractNum w:abstractNumId="4" w15:restartNumberingAfterBreak="0">
    <w:nsid w:val="FFFFFF89"/>
    <w:multiLevelType w:val="singleLevel"/>
    <w:tmpl w:val="518E355A"/>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12EE5C5D"/>
    <w:multiLevelType w:val="hybridMultilevel"/>
    <w:tmpl w:val="2690C34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34E1681A"/>
    <w:multiLevelType w:val="hybridMultilevel"/>
    <w:tmpl w:val="1BC0D67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483027A4"/>
    <w:multiLevelType w:val="hybridMultilevel"/>
    <w:tmpl w:val="25CED3CC"/>
    <w:lvl w:ilvl="0" w:tplc="B54818E2">
      <w:numFmt w:val="bullet"/>
      <w:lvlText w:val=""/>
      <w:lvlJc w:val="left"/>
      <w:pPr>
        <w:ind w:left="720" w:hanging="360"/>
      </w:pPr>
      <w:rPr>
        <w:rFonts w:ascii="Symbol" w:hAnsi="Symbol" w:hint="default"/>
        <w:color w:val="101920" w:themeColor="text1"/>
        <w:sz w:val="22"/>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7C257B59"/>
    <w:multiLevelType w:val="hybridMultilevel"/>
    <w:tmpl w:val="D3E80C00"/>
    <w:lvl w:ilvl="0" w:tplc="37F8A3B4">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026054309">
    <w:abstractNumId w:val="4"/>
  </w:num>
  <w:num w:numId="2" w16cid:durableId="2139950905">
    <w:abstractNumId w:val="3"/>
  </w:num>
  <w:num w:numId="3" w16cid:durableId="538321865">
    <w:abstractNumId w:val="2"/>
  </w:num>
  <w:num w:numId="4" w16cid:durableId="1704210526">
    <w:abstractNumId w:val="1"/>
  </w:num>
  <w:num w:numId="5" w16cid:durableId="1230506671">
    <w:abstractNumId w:val="0"/>
  </w:num>
  <w:num w:numId="6" w16cid:durableId="1850944527">
    <w:abstractNumId w:val="8"/>
  </w:num>
  <w:num w:numId="7" w16cid:durableId="1727870543">
    <w:abstractNumId w:val="6"/>
  </w:num>
  <w:num w:numId="8" w16cid:durableId="492375709">
    <w:abstractNumId w:val="7"/>
  </w:num>
  <w:num w:numId="9" w16cid:durableId="134049845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09"/>
  <w:hyphenationZone w:val="425"/>
  <w:drawingGridHorizontalSpacing w:val="78"/>
  <w:displayHorizontalDrawingGridEvery w:val="2"/>
  <w:doNotShadeFormData/>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3517C"/>
    <w:rsid w:val="00012C05"/>
    <w:rsid w:val="0001709D"/>
    <w:rsid w:val="00023256"/>
    <w:rsid w:val="00025704"/>
    <w:rsid w:val="00026DC6"/>
    <w:rsid w:val="00027B38"/>
    <w:rsid w:val="00043658"/>
    <w:rsid w:val="000462CC"/>
    <w:rsid w:val="00052A00"/>
    <w:rsid w:val="000538EF"/>
    <w:rsid w:val="000551CC"/>
    <w:rsid w:val="000634C0"/>
    <w:rsid w:val="00065674"/>
    <w:rsid w:val="000665B2"/>
    <w:rsid w:val="000756C1"/>
    <w:rsid w:val="00077B3B"/>
    <w:rsid w:val="0009190F"/>
    <w:rsid w:val="000919D4"/>
    <w:rsid w:val="000A2165"/>
    <w:rsid w:val="000A4266"/>
    <w:rsid w:val="000B23C6"/>
    <w:rsid w:val="000B5C57"/>
    <w:rsid w:val="000D5063"/>
    <w:rsid w:val="000D7EF2"/>
    <w:rsid w:val="000E5EDB"/>
    <w:rsid w:val="000F1808"/>
    <w:rsid w:val="000F2C6E"/>
    <w:rsid w:val="000F651A"/>
    <w:rsid w:val="00105373"/>
    <w:rsid w:val="00110001"/>
    <w:rsid w:val="0011130C"/>
    <w:rsid w:val="001119F6"/>
    <w:rsid w:val="00117907"/>
    <w:rsid w:val="00140FE9"/>
    <w:rsid w:val="0014515D"/>
    <w:rsid w:val="001643FC"/>
    <w:rsid w:val="00164570"/>
    <w:rsid w:val="001750BF"/>
    <w:rsid w:val="001828C3"/>
    <w:rsid w:val="00182E18"/>
    <w:rsid w:val="00185F37"/>
    <w:rsid w:val="00196397"/>
    <w:rsid w:val="00196E4C"/>
    <w:rsid w:val="00197817"/>
    <w:rsid w:val="001A18E3"/>
    <w:rsid w:val="001A4317"/>
    <w:rsid w:val="001C07D0"/>
    <w:rsid w:val="001C2D1F"/>
    <w:rsid w:val="001C43E7"/>
    <w:rsid w:val="001C7E97"/>
    <w:rsid w:val="001D1287"/>
    <w:rsid w:val="001E0EBE"/>
    <w:rsid w:val="001E145E"/>
    <w:rsid w:val="001E155D"/>
    <w:rsid w:val="001F24DA"/>
    <w:rsid w:val="001F721D"/>
    <w:rsid w:val="00214EB5"/>
    <w:rsid w:val="00217F01"/>
    <w:rsid w:val="00231665"/>
    <w:rsid w:val="0024770A"/>
    <w:rsid w:val="00251041"/>
    <w:rsid w:val="002527E3"/>
    <w:rsid w:val="00253532"/>
    <w:rsid w:val="00267867"/>
    <w:rsid w:val="002713A8"/>
    <w:rsid w:val="002754BD"/>
    <w:rsid w:val="002757EC"/>
    <w:rsid w:val="002915DB"/>
    <w:rsid w:val="002A277E"/>
    <w:rsid w:val="002A3B23"/>
    <w:rsid w:val="002A573A"/>
    <w:rsid w:val="002B1676"/>
    <w:rsid w:val="002B7E3A"/>
    <w:rsid w:val="002D2E26"/>
    <w:rsid w:val="002D2EA8"/>
    <w:rsid w:val="002D39E1"/>
    <w:rsid w:val="002D4E22"/>
    <w:rsid w:val="002D6101"/>
    <w:rsid w:val="002E42D3"/>
    <w:rsid w:val="002F3A40"/>
    <w:rsid w:val="002F523E"/>
    <w:rsid w:val="002F5771"/>
    <w:rsid w:val="002F764E"/>
    <w:rsid w:val="00305D2F"/>
    <w:rsid w:val="0030625B"/>
    <w:rsid w:val="00314B82"/>
    <w:rsid w:val="003201C1"/>
    <w:rsid w:val="003213C7"/>
    <w:rsid w:val="0032175D"/>
    <w:rsid w:val="003237B7"/>
    <w:rsid w:val="00325113"/>
    <w:rsid w:val="003465AE"/>
    <w:rsid w:val="00350EAC"/>
    <w:rsid w:val="00354599"/>
    <w:rsid w:val="00363835"/>
    <w:rsid w:val="003648E2"/>
    <w:rsid w:val="00370D14"/>
    <w:rsid w:val="00382529"/>
    <w:rsid w:val="00382572"/>
    <w:rsid w:val="003875CD"/>
    <w:rsid w:val="00390C81"/>
    <w:rsid w:val="0039505A"/>
    <w:rsid w:val="00396158"/>
    <w:rsid w:val="003978A7"/>
    <w:rsid w:val="00397CD9"/>
    <w:rsid w:val="003A5F72"/>
    <w:rsid w:val="003B484D"/>
    <w:rsid w:val="003C09D3"/>
    <w:rsid w:val="003D1B5A"/>
    <w:rsid w:val="003E3208"/>
    <w:rsid w:val="003E417C"/>
    <w:rsid w:val="003F0249"/>
    <w:rsid w:val="003F4C2F"/>
    <w:rsid w:val="003F6EB2"/>
    <w:rsid w:val="00400F23"/>
    <w:rsid w:val="0040230E"/>
    <w:rsid w:val="0041453A"/>
    <w:rsid w:val="00416CF8"/>
    <w:rsid w:val="00424FC7"/>
    <w:rsid w:val="004336E1"/>
    <w:rsid w:val="004354F8"/>
    <w:rsid w:val="0045793F"/>
    <w:rsid w:val="0047063C"/>
    <w:rsid w:val="00471DAB"/>
    <w:rsid w:val="00471FB7"/>
    <w:rsid w:val="004A0D65"/>
    <w:rsid w:val="004A2EED"/>
    <w:rsid w:val="004C0BDC"/>
    <w:rsid w:val="004C7B3B"/>
    <w:rsid w:val="004E08D6"/>
    <w:rsid w:val="004E1ACA"/>
    <w:rsid w:val="004E317D"/>
    <w:rsid w:val="004E5ED0"/>
    <w:rsid w:val="004F431B"/>
    <w:rsid w:val="004F4FB0"/>
    <w:rsid w:val="004F5A24"/>
    <w:rsid w:val="00504EBE"/>
    <w:rsid w:val="00510F4B"/>
    <w:rsid w:val="0051365B"/>
    <w:rsid w:val="00535582"/>
    <w:rsid w:val="00536EF6"/>
    <w:rsid w:val="00543025"/>
    <w:rsid w:val="00544798"/>
    <w:rsid w:val="00571ACF"/>
    <w:rsid w:val="00572D99"/>
    <w:rsid w:val="005738EE"/>
    <w:rsid w:val="00576B71"/>
    <w:rsid w:val="00583F11"/>
    <w:rsid w:val="00584AB6"/>
    <w:rsid w:val="00585395"/>
    <w:rsid w:val="0058782F"/>
    <w:rsid w:val="005974BE"/>
    <w:rsid w:val="00597CCA"/>
    <w:rsid w:val="005A5C47"/>
    <w:rsid w:val="005E11EB"/>
    <w:rsid w:val="005E3E26"/>
    <w:rsid w:val="005E466C"/>
    <w:rsid w:val="005F31A3"/>
    <w:rsid w:val="00610232"/>
    <w:rsid w:val="0062296C"/>
    <w:rsid w:val="00622DBC"/>
    <w:rsid w:val="006233D0"/>
    <w:rsid w:val="006313BB"/>
    <w:rsid w:val="00633D40"/>
    <w:rsid w:val="00634AF7"/>
    <w:rsid w:val="006359AC"/>
    <w:rsid w:val="00640329"/>
    <w:rsid w:val="00657B9F"/>
    <w:rsid w:val="00675AAC"/>
    <w:rsid w:val="0067788E"/>
    <w:rsid w:val="00680F86"/>
    <w:rsid w:val="00682B75"/>
    <w:rsid w:val="006842ED"/>
    <w:rsid w:val="00693916"/>
    <w:rsid w:val="006B16F6"/>
    <w:rsid w:val="006B7B02"/>
    <w:rsid w:val="006E53A7"/>
    <w:rsid w:val="006F5240"/>
    <w:rsid w:val="006F6D55"/>
    <w:rsid w:val="007136D7"/>
    <w:rsid w:val="007228C6"/>
    <w:rsid w:val="007272A3"/>
    <w:rsid w:val="00732C02"/>
    <w:rsid w:val="00735D98"/>
    <w:rsid w:val="007362BE"/>
    <w:rsid w:val="00737269"/>
    <w:rsid w:val="00750254"/>
    <w:rsid w:val="007505A4"/>
    <w:rsid w:val="00751015"/>
    <w:rsid w:val="00752E03"/>
    <w:rsid w:val="007701D8"/>
    <w:rsid w:val="00783929"/>
    <w:rsid w:val="00785F16"/>
    <w:rsid w:val="0079519B"/>
    <w:rsid w:val="007A00A5"/>
    <w:rsid w:val="007B244B"/>
    <w:rsid w:val="007B2F04"/>
    <w:rsid w:val="007B4F48"/>
    <w:rsid w:val="007B4FE9"/>
    <w:rsid w:val="007C3C96"/>
    <w:rsid w:val="007D58F8"/>
    <w:rsid w:val="007D7072"/>
    <w:rsid w:val="007D787A"/>
    <w:rsid w:val="007E6857"/>
    <w:rsid w:val="007F372D"/>
    <w:rsid w:val="008016F5"/>
    <w:rsid w:val="0081555D"/>
    <w:rsid w:val="00835BD0"/>
    <w:rsid w:val="00843C73"/>
    <w:rsid w:val="008443EB"/>
    <w:rsid w:val="0085313D"/>
    <w:rsid w:val="00864008"/>
    <w:rsid w:val="0088410D"/>
    <w:rsid w:val="00895E4C"/>
    <w:rsid w:val="008A3A96"/>
    <w:rsid w:val="008A509A"/>
    <w:rsid w:val="008A6767"/>
    <w:rsid w:val="008B295E"/>
    <w:rsid w:val="008C6F85"/>
    <w:rsid w:val="008E3702"/>
    <w:rsid w:val="008F577D"/>
    <w:rsid w:val="009010C8"/>
    <w:rsid w:val="00904A6D"/>
    <w:rsid w:val="0091191E"/>
    <w:rsid w:val="00912584"/>
    <w:rsid w:val="009164B6"/>
    <w:rsid w:val="00922BF9"/>
    <w:rsid w:val="0093383D"/>
    <w:rsid w:val="00936516"/>
    <w:rsid w:val="00941296"/>
    <w:rsid w:val="0094602F"/>
    <w:rsid w:val="00946C10"/>
    <w:rsid w:val="009540F1"/>
    <w:rsid w:val="009627BA"/>
    <w:rsid w:val="00963516"/>
    <w:rsid w:val="0096400D"/>
    <w:rsid w:val="0096443F"/>
    <w:rsid w:val="0096598A"/>
    <w:rsid w:val="0096762B"/>
    <w:rsid w:val="009852AB"/>
    <w:rsid w:val="00990D55"/>
    <w:rsid w:val="0099517C"/>
    <w:rsid w:val="009A0389"/>
    <w:rsid w:val="009A12CC"/>
    <w:rsid w:val="009C6A20"/>
    <w:rsid w:val="009D1575"/>
    <w:rsid w:val="009F75AC"/>
    <w:rsid w:val="00A00BAD"/>
    <w:rsid w:val="00A038F1"/>
    <w:rsid w:val="00A0495E"/>
    <w:rsid w:val="00A27332"/>
    <w:rsid w:val="00A30FFF"/>
    <w:rsid w:val="00A35336"/>
    <w:rsid w:val="00A43489"/>
    <w:rsid w:val="00A57C0F"/>
    <w:rsid w:val="00A84CD1"/>
    <w:rsid w:val="00A9225B"/>
    <w:rsid w:val="00A96FB3"/>
    <w:rsid w:val="00AC6FF9"/>
    <w:rsid w:val="00AD188D"/>
    <w:rsid w:val="00AD1935"/>
    <w:rsid w:val="00AD1B0A"/>
    <w:rsid w:val="00AD3021"/>
    <w:rsid w:val="00AD3FB3"/>
    <w:rsid w:val="00AE4773"/>
    <w:rsid w:val="00AE76E0"/>
    <w:rsid w:val="00AF1594"/>
    <w:rsid w:val="00AF44BF"/>
    <w:rsid w:val="00B064B6"/>
    <w:rsid w:val="00B212C0"/>
    <w:rsid w:val="00B217E8"/>
    <w:rsid w:val="00B276A2"/>
    <w:rsid w:val="00B32D92"/>
    <w:rsid w:val="00B36151"/>
    <w:rsid w:val="00B51D50"/>
    <w:rsid w:val="00B63612"/>
    <w:rsid w:val="00B63C88"/>
    <w:rsid w:val="00B77F32"/>
    <w:rsid w:val="00B83017"/>
    <w:rsid w:val="00B8724A"/>
    <w:rsid w:val="00B90822"/>
    <w:rsid w:val="00B91B0E"/>
    <w:rsid w:val="00B92E75"/>
    <w:rsid w:val="00BA501F"/>
    <w:rsid w:val="00BA6226"/>
    <w:rsid w:val="00BB5E87"/>
    <w:rsid w:val="00BC2068"/>
    <w:rsid w:val="00BC2583"/>
    <w:rsid w:val="00BC34DF"/>
    <w:rsid w:val="00BD6FED"/>
    <w:rsid w:val="00BE0B5A"/>
    <w:rsid w:val="00BF424E"/>
    <w:rsid w:val="00BF5B9F"/>
    <w:rsid w:val="00C106BD"/>
    <w:rsid w:val="00C1234D"/>
    <w:rsid w:val="00C263D6"/>
    <w:rsid w:val="00C30A1F"/>
    <w:rsid w:val="00C3517C"/>
    <w:rsid w:val="00C36EF5"/>
    <w:rsid w:val="00C514D3"/>
    <w:rsid w:val="00C56C04"/>
    <w:rsid w:val="00C652FE"/>
    <w:rsid w:val="00C85D6D"/>
    <w:rsid w:val="00C934A2"/>
    <w:rsid w:val="00C947FC"/>
    <w:rsid w:val="00C97F28"/>
    <w:rsid w:val="00CA0EAF"/>
    <w:rsid w:val="00CC05E4"/>
    <w:rsid w:val="00CC50DB"/>
    <w:rsid w:val="00CD3A60"/>
    <w:rsid w:val="00CE184C"/>
    <w:rsid w:val="00CE585D"/>
    <w:rsid w:val="00CF1CD1"/>
    <w:rsid w:val="00D03FF8"/>
    <w:rsid w:val="00D04794"/>
    <w:rsid w:val="00D10FB7"/>
    <w:rsid w:val="00D15D07"/>
    <w:rsid w:val="00D26309"/>
    <w:rsid w:val="00D31E00"/>
    <w:rsid w:val="00D32D54"/>
    <w:rsid w:val="00D33F6E"/>
    <w:rsid w:val="00D40278"/>
    <w:rsid w:val="00D534FB"/>
    <w:rsid w:val="00D7322B"/>
    <w:rsid w:val="00D763DF"/>
    <w:rsid w:val="00D9427D"/>
    <w:rsid w:val="00D9799E"/>
    <w:rsid w:val="00DA1A89"/>
    <w:rsid w:val="00DA2503"/>
    <w:rsid w:val="00DB6884"/>
    <w:rsid w:val="00DC53B3"/>
    <w:rsid w:val="00DD3441"/>
    <w:rsid w:val="00DE1EF4"/>
    <w:rsid w:val="00DE3C73"/>
    <w:rsid w:val="00DE6A51"/>
    <w:rsid w:val="00DF154A"/>
    <w:rsid w:val="00DF5501"/>
    <w:rsid w:val="00E0668B"/>
    <w:rsid w:val="00E14594"/>
    <w:rsid w:val="00E21378"/>
    <w:rsid w:val="00E21965"/>
    <w:rsid w:val="00E316FC"/>
    <w:rsid w:val="00E33B8B"/>
    <w:rsid w:val="00E37A8E"/>
    <w:rsid w:val="00E4241C"/>
    <w:rsid w:val="00E450E1"/>
    <w:rsid w:val="00E4576C"/>
    <w:rsid w:val="00E46EAA"/>
    <w:rsid w:val="00E67105"/>
    <w:rsid w:val="00E716D0"/>
    <w:rsid w:val="00E74AAF"/>
    <w:rsid w:val="00E7643E"/>
    <w:rsid w:val="00E83A98"/>
    <w:rsid w:val="00E86336"/>
    <w:rsid w:val="00E864F2"/>
    <w:rsid w:val="00E97FF4"/>
    <w:rsid w:val="00EA15A8"/>
    <w:rsid w:val="00EB1CB1"/>
    <w:rsid w:val="00EC4287"/>
    <w:rsid w:val="00EC6E1F"/>
    <w:rsid w:val="00ED1302"/>
    <w:rsid w:val="00F049B0"/>
    <w:rsid w:val="00F05502"/>
    <w:rsid w:val="00F067A0"/>
    <w:rsid w:val="00F06D95"/>
    <w:rsid w:val="00F15DA4"/>
    <w:rsid w:val="00F17431"/>
    <w:rsid w:val="00F3424F"/>
    <w:rsid w:val="00F74E2D"/>
    <w:rsid w:val="00F74FDC"/>
    <w:rsid w:val="00F8095A"/>
    <w:rsid w:val="00F839B2"/>
    <w:rsid w:val="00F9429D"/>
    <w:rsid w:val="00F9674F"/>
    <w:rsid w:val="00F96CA0"/>
    <w:rsid w:val="00FC64EE"/>
    <w:rsid w:val="00FE0628"/>
    <w:rsid w:val="00FF31DA"/>
  </w:rsids>
  <m:mathPr>
    <m:mathFont m:val="Cambria Math"/>
    <m:brkBin m:val="before"/>
    <m:brkBinSub m:val="--"/>
    <m:smallFrac m:val="0"/>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BF9E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DeutscheBank" w:eastAsia="Times New Roman" w:hAnsi="DeutscheBank"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3875CD"/>
  </w:style>
  <w:style w:type="paragraph" w:styleId="berschrift1">
    <w:name w:val="heading 1"/>
    <w:basedOn w:val="Standard"/>
    <w:next w:val="Standard"/>
    <w:qFormat/>
    <w:rsid w:val="00990D55"/>
    <w:pPr>
      <w:keepNext/>
      <w:spacing w:before="320" w:after="320" w:line="320" w:lineRule="exact"/>
      <w:outlineLvl w:val="0"/>
    </w:pPr>
    <w:rPr>
      <w:rFonts w:asciiTheme="majorHAnsi" w:hAnsiTheme="majorHAnsi" w:cs="Arial"/>
      <w:b/>
      <w:bCs/>
      <w:color w:val="FD5000" w:themeColor="accent1"/>
      <w:sz w:val="32"/>
    </w:rPr>
  </w:style>
  <w:style w:type="paragraph" w:styleId="berschrift2">
    <w:name w:val="heading 2"/>
    <w:basedOn w:val="berschrift1"/>
    <w:next w:val="Standard"/>
    <w:qFormat/>
    <w:rsid w:val="00990D55"/>
    <w:pPr>
      <w:outlineLvl w:val="1"/>
    </w:pPr>
    <w:rPr>
      <w:b w:val="0"/>
      <w:bCs w:val="0"/>
      <w:iCs/>
      <w:color w:val="7DE0C3" w:themeColor="accent2"/>
    </w:rPr>
  </w:style>
  <w:style w:type="paragraph" w:styleId="berschrift3">
    <w:name w:val="heading 3"/>
    <w:basedOn w:val="berschrift1"/>
    <w:next w:val="Standard"/>
    <w:qFormat/>
    <w:rsid w:val="00990D55"/>
    <w:pPr>
      <w:spacing w:before="280" w:after="280" w:line="240" w:lineRule="auto"/>
      <w:outlineLvl w:val="2"/>
    </w:pPr>
    <w:rPr>
      <w:b w:val="0"/>
      <w:bCs w:val="0"/>
      <w:color w:val="596675" w:themeColor="text2"/>
      <w:sz w:val="2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Adresse">
    <w:name w:val="Adresse"/>
    <w:basedOn w:val="Standard"/>
    <w:rsid w:val="00572D99"/>
    <w:pPr>
      <w:framePr w:w="4536" w:h="1641" w:hRule="exact" w:hSpace="142" w:wrap="notBeside" w:vAnchor="page" w:hAnchor="page" w:x="1362" w:y="2859" w:anchorLock="1"/>
    </w:pPr>
    <w:rPr>
      <w:rFonts w:cs="Arial"/>
    </w:rPr>
  </w:style>
  <w:style w:type="paragraph" w:styleId="Kopfzeile">
    <w:name w:val="header"/>
    <w:basedOn w:val="Standard"/>
    <w:link w:val="KopfzeileZchn"/>
    <w:rsid w:val="0011130C"/>
    <w:pPr>
      <w:tabs>
        <w:tab w:val="center" w:pos="4536"/>
        <w:tab w:val="right" w:pos="9072"/>
      </w:tabs>
    </w:pPr>
  </w:style>
  <w:style w:type="paragraph" w:styleId="Fuzeile">
    <w:name w:val="footer"/>
    <w:basedOn w:val="Standard"/>
    <w:link w:val="FuzeileZchn"/>
    <w:rsid w:val="00B276A2"/>
    <w:pPr>
      <w:tabs>
        <w:tab w:val="left" w:pos="357"/>
      </w:tabs>
      <w:suppressAutoHyphens/>
      <w:spacing w:line="150" w:lineRule="exact"/>
    </w:pPr>
    <w:rPr>
      <w:rFonts w:cs="Arial"/>
      <w:noProof/>
      <w:sz w:val="12"/>
      <w:szCs w:val="12"/>
    </w:rPr>
  </w:style>
  <w:style w:type="paragraph" w:customStyle="1" w:styleId="Marginalie">
    <w:name w:val="Marginalie"/>
    <w:basedOn w:val="Standard"/>
    <w:rsid w:val="0011130C"/>
    <w:pPr>
      <w:framePr w:w="4309" w:h="3062" w:hRule="exact" w:hSpace="142" w:wrap="around" w:vAnchor="page" w:hAnchor="page" w:x="7202" w:y="2348" w:anchorLock="1"/>
      <w:tabs>
        <w:tab w:val="center" w:pos="4536"/>
        <w:tab w:val="right" w:pos="9072"/>
      </w:tabs>
      <w:spacing w:line="220" w:lineRule="exact"/>
    </w:pPr>
    <w:rPr>
      <w:sz w:val="18"/>
      <w:szCs w:val="18"/>
    </w:rPr>
  </w:style>
  <w:style w:type="character" w:customStyle="1" w:styleId="KopfzeileZchn">
    <w:name w:val="Kopfzeile Zchn"/>
    <w:basedOn w:val="Absatz-Standardschriftart"/>
    <w:link w:val="Kopfzeile"/>
    <w:rsid w:val="0011130C"/>
    <w:rPr>
      <w:rFonts w:ascii="Arial" w:hAnsi="Arial"/>
      <w:sz w:val="21"/>
      <w:szCs w:val="22"/>
    </w:rPr>
  </w:style>
  <w:style w:type="paragraph" w:customStyle="1" w:styleId="MarginaliekleinerZeilenabstand">
    <w:name w:val="Marginalie kleiner Zeilenabstand"/>
    <w:basedOn w:val="Marginalie"/>
    <w:rsid w:val="00111AC3"/>
    <w:pPr>
      <w:framePr w:wrap="around"/>
      <w:spacing w:line="120" w:lineRule="exact"/>
    </w:pPr>
    <w:rPr>
      <w:sz w:val="8"/>
    </w:rPr>
  </w:style>
  <w:style w:type="table" w:styleId="Tabellenraster">
    <w:name w:val="Table Grid"/>
    <w:basedOn w:val="NormaleTabelle"/>
    <w:rsid w:val="00F3424F"/>
    <w:pPr>
      <w:tabs>
        <w:tab w:val="left" w:pos="357"/>
      </w:tabs>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bsenderinformationen">
    <w:name w:val="Absenderinformationen"/>
    <w:basedOn w:val="Standard"/>
    <w:qFormat/>
    <w:rsid w:val="00B276A2"/>
    <w:pPr>
      <w:framePr w:w="3402" w:h="2835" w:hRule="exact" w:wrap="around" w:vAnchor="page" w:hAnchor="page" w:x="7939" w:y="2269" w:anchorLock="1"/>
      <w:tabs>
        <w:tab w:val="left" w:pos="357"/>
      </w:tabs>
      <w:spacing w:after="90"/>
    </w:pPr>
    <w:rPr>
      <w:noProof/>
      <w:color w:val="101920" w:themeColor="text1"/>
      <w:sz w:val="18"/>
      <w:szCs w:val="18"/>
    </w:rPr>
  </w:style>
  <w:style w:type="paragraph" w:customStyle="1" w:styleId="Empfnger">
    <w:name w:val="Empfänger"/>
    <w:basedOn w:val="Standard"/>
    <w:qFormat/>
    <w:rsid w:val="00B276A2"/>
    <w:pPr>
      <w:framePr w:w="4536" w:h="1537" w:hRule="exact" w:wrap="notBeside" w:vAnchor="page" w:hAnchor="page" w:x="1419" w:y="2989" w:anchorLock="1"/>
    </w:pPr>
  </w:style>
  <w:style w:type="paragraph" w:styleId="Sprechblasentext">
    <w:name w:val="Balloon Text"/>
    <w:basedOn w:val="Standard"/>
    <w:link w:val="SprechblasentextZchn"/>
    <w:rsid w:val="00990D55"/>
    <w:rPr>
      <w:rFonts w:cs="Tahoma"/>
      <w:sz w:val="16"/>
      <w:szCs w:val="16"/>
    </w:rPr>
  </w:style>
  <w:style w:type="character" w:customStyle="1" w:styleId="SprechblasentextZchn">
    <w:name w:val="Sprechblasentext Zchn"/>
    <w:basedOn w:val="Absatz-Standardschriftart"/>
    <w:link w:val="Sprechblasentext"/>
    <w:rsid w:val="00990D55"/>
    <w:rPr>
      <w:rFonts w:asciiTheme="minorHAnsi" w:hAnsiTheme="minorHAnsi" w:cs="Tahoma"/>
      <w:sz w:val="16"/>
      <w:szCs w:val="16"/>
    </w:rPr>
  </w:style>
  <w:style w:type="character" w:customStyle="1" w:styleId="FuzeileZchn">
    <w:name w:val="Fußzeile Zchn"/>
    <w:basedOn w:val="Absatz-Standardschriftart"/>
    <w:link w:val="Fuzeile"/>
    <w:rsid w:val="00B276A2"/>
    <w:rPr>
      <w:rFonts w:asciiTheme="minorHAnsi" w:hAnsiTheme="minorHAnsi" w:cs="Arial"/>
      <w:noProof/>
      <w:sz w:val="12"/>
      <w:szCs w:val="12"/>
    </w:rPr>
  </w:style>
  <w:style w:type="character" w:styleId="Hyperlink">
    <w:name w:val="Hyperlink"/>
    <w:basedOn w:val="Absatz-Standardschriftart"/>
    <w:unhideWhenUsed/>
    <w:rsid w:val="003875CD"/>
    <w:rPr>
      <w:color w:val="0069B1"/>
      <w:u w:val="none"/>
    </w:rPr>
  </w:style>
  <w:style w:type="paragraph" w:customStyle="1" w:styleId="Flietext">
    <w:name w:val="Fließtext"/>
    <w:basedOn w:val="Standard"/>
    <w:qFormat/>
    <w:rsid w:val="00A35336"/>
    <w:pPr>
      <w:tabs>
        <w:tab w:val="left" w:pos="6521"/>
      </w:tabs>
      <w:autoSpaceDE w:val="0"/>
      <w:autoSpaceDN w:val="0"/>
      <w:adjustRightInd w:val="0"/>
    </w:pPr>
    <w:rPr>
      <w:rFonts w:cs="Arial"/>
      <w:color w:val="000000"/>
    </w:rPr>
  </w:style>
  <w:style w:type="paragraph" w:customStyle="1" w:styleId="Identifier">
    <w:name w:val="Identifier"/>
    <w:basedOn w:val="Standard"/>
    <w:qFormat/>
    <w:rsid w:val="003875CD"/>
    <w:pPr>
      <w:spacing w:line="240" w:lineRule="exact"/>
    </w:pPr>
    <w:rPr>
      <w:rFonts w:asciiTheme="majorHAnsi" w:hAnsiTheme="majorHAnsi"/>
      <w:noProof/>
      <w:color w:val="FD5000" w:themeColor="accent1"/>
      <w:sz w:val="24"/>
      <w:szCs w:val="24"/>
    </w:rPr>
  </w:style>
  <w:style w:type="character" w:customStyle="1" w:styleId="FuzeileZchn1">
    <w:name w:val="Fußzeile Zchn1"/>
    <w:basedOn w:val="Absatz-Standardschriftart"/>
    <w:semiHidden/>
    <w:rsid w:val="00026DC6"/>
    <w:rPr>
      <w:rFonts w:ascii="Deutsche Bank Text" w:hAnsi="Deutsche Bank Text"/>
      <w:sz w:val="21"/>
      <w:szCs w:val="22"/>
    </w:rPr>
  </w:style>
  <w:style w:type="character" w:styleId="NichtaufgelsteErwhnung">
    <w:name w:val="Unresolved Mention"/>
    <w:basedOn w:val="Absatz-Standardschriftart"/>
    <w:uiPriority w:val="99"/>
    <w:semiHidden/>
    <w:unhideWhenUsed/>
    <w:rsid w:val="00DF154A"/>
    <w:rPr>
      <w:color w:val="605E5C"/>
      <w:shd w:val="clear" w:color="auto" w:fill="E1DFDD"/>
    </w:rPr>
  </w:style>
  <w:style w:type="character" w:customStyle="1" w:styleId="Bold">
    <w:name w:val="Bold"/>
    <w:basedOn w:val="Absatz-Standardschriftart"/>
    <w:uiPriority w:val="1"/>
    <w:qFormat/>
    <w:rsid w:val="00A35336"/>
    <w:rPr>
      <w:b/>
      <w:bCs/>
    </w:rPr>
  </w:style>
  <w:style w:type="character" w:styleId="BesuchterLink">
    <w:name w:val="FollowedHyperlink"/>
    <w:basedOn w:val="Absatz-Standardschriftart"/>
    <w:semiHidden/>
    <w:unhideWhenUsed/>
    <w:rsid w:val="001C2D1F"/>
    <w:rPr>
      <w:color w:val="101920" w:themeColor="followedHyperlink"/>
      <w:u w:val="single"/>
    </w:rPr>
  </w:style>
  <w:style w:type="paragraph" w:styleId="Listenabsatz">
    <w:name w:val="List Paragraph"/>
    <w:basedOn w:val="Standard"/>
    <w:uiPriority w:val="34"/>
    <w:qFormat/>
    <w:rsid w:val="001C2D1F"/>
    <w:pPr>
      <w:ind w:left="720"/>
      <w:contextualSpacing/>
    </w:pPr>
    <w:rPr>
      <w:rFonts w:ascii="Times New Roman" w:eastAsiaTheme="minorEastAsia" w:hAnsi="Times New Roman"/>
      <w:sz w:val="24"/>
      <w:szCs w:val="24"/>
    </w:rPr>
  </w:style>
  <w:style w:type="paragraph" w:styleId="berarbeitung">
    <w:name w:val="Revision"/>
    <w:hidden/>
    <w:uiPriority w:val="99"/>
    <w:semiHidden/>
    <w:rsid w:val="001D1287"/>
  </w:style>
  <w:style w:type="character" w:styleId="Kommentarzeichen">
    <w:name w:val="annotation reference"/>
    <w:basedOn w:val="Absatz-Standardschriftart"/>
    <w:semiHidden/>
    <w:unhideWhenUsed/>
    <w:rsid w:val="000B5C57"/>
    <w:rPr>
      <w:sz w:val="16"/>
      <w:szCs w:val="16"/>
    </w:rPr>
  </w:style>
  <w:style w:type="paragraph" w:styleId="Kommentartext">
    <w:name w:val="annotation text"/>
    <w:basedOn w:val="Standard"/>
    <w:link w:val="KommentartextZchn"/>
    <w:unhideWhenUsed/>
    <w:rsid w:val="000B5C57"/>
  </w:style>
  <w:style w:type="character" w:customStyle="1" w:styleId="KommentartextZchn">
    <w:name w:val="Kommentartext Zchn"/>
    <w:basedOn w:val="Absatz-Standardschriftart"/>
    <w:link w:val="Kommentartext"/>
    <w:rsid w:val="000B5C57"/>
  </w:style>
  <w:style w:type="paragraph" w:styleId="Kommentarthema">
    <w:name w:val="annotation subject"/>
    <w:basedOn w:val="Kommentartext"/>
    <w:next w:val="Kommentartext"/>
    <w:link w:val="KommentarthemaZchn"/>
    <w:semiHidden/>
    <w:unhideWhenUsed/>
    <w:rsid w:val="000B5C57"/>
    <w:rPr>
      <w:b/>
      <w:bCs/>
    </w:rPr>
  </w:style>
  <w:style w:type="character" w:customStyle="1" w:styleId="KommentarthemaZchn">
    <w:name w:val="Kommentarthema Zchn"/>
    <w:basedOn w:val="KommentartextZchn"/>
    <w:link w:val="Kommentarthema"/>
    <w:semiHidden/>
    <w:rsid w:val="000B5C57"/>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267563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christian-a.jacobs@norisbank.de"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norisbank.de/ueber-uns/norisbank/auszeichnungen.html"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www.norisbank.de" TargetMode="External"/><Relationship Id="rId4" Type="http://schemas.openxmlformats.org/officeDocument/2006/relationships/settings" Target="settings.xml"/><Relationship Id="rId9" Type="http://schemas.openxmlformats.org/officeDocument/2006/relationships/image" Target="media/image2.svg"/><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3.emf"/></Relationships>
</file>

<file path=word/_rels/header2.xml.rels><?xml version="1.0" encoding="UTF-8" standalone="yes"?>
<Relationships xmlns="http://schemas.openxmlformats.org/package/2006/relationships"><Relationship Id="rId1" Type="http://schemas.openxmlformats.org/officeDocument/2006/relationships/image" Target="media/image3.emf"/></Relationships>
</file>

<file path=word/theme/theme1.xml><?xml version="1.0" encoding="utf-8"?>
<a:theme xmlns:a="http://schemas.openxmlformats.org/drawingml/2006/main" name="db24-bright-2025-01">
  <a:themeElements>
    <a:clrScheme name="NOB NEW DESIGN">
      <a:dk1>
        <a:srgbClr val="101920"/>
      </a:dk1>
      <a:lt1>
        <a:srgbClr val="FFFFFF"/>
      </a:lt1>
      <a:dk2>
        <a:srgbClr val="596675"/>
      </a:dk2>
      <a:lt2>
        <a:srgbClr val="DAE2ED"/>
      </a:lt2>
      <a:accent1>
        <a:srgbClr val="FD5000"/>
      </a:accent1>
      <a:accent2>
        <a:srgbClr val="7DE0C3"/>
      </a:accent2>
      <a:accent3>
        <a:srgbClr val="6C85AE"/>
      </a:accent3>
      <a:accent4>
        <a:srgbClr val="9DAEC9"/>
      </a:accent4>
      <a:accent5>
        <a:srgbClr val="CED6E4"/>
      </a:accent5>
      <a:accent6>
        <a:srgbClr val="E7EBF2"/>
      </a:accent6>
      <a:hlink>
        <a:srgbClr val="101920"/>
      </a:hlink>
      <a:folHlink>
        <a:srgbClr val="101920"/>
      </a:folHlink>
    </a:clrScheme>
    <a:fontScheme name="Deutsche Bank 2024 09">
      <a:majorFont>
        <a:latin typeface="DeutscheBank"/>
        <a:ea typeface="MS PGothic"/>
        <a:cs typeface=""/>
      </a:majorFont>
      <a:minorFont>
        <a:latin typeface="DeutscheBank"/>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txDef>
      <a:spPr>
        <a:noFill/>
      </a:spPr>
      <a:bodyPr wrap="none" lIns="0" tIns="0" rIns="0" bIns="0" rtlCol="0">
        <a:spAutoFit/>
      </a:bodyPr>
      <a:lstStyle>
        <a:defPPr algn="l">
          <a:defRPr sz="1400" dirty="0" smtClean="0"/>
        </a:defPPr>
      </a:lstStyle>
    </a:txDef>
  </a:objectDefaults>
  <a:extraClrSchemeLst/>
  <a:custClrLst>
    <a:custClr name="Deep Blue">
      <a:srgbClr val="1E2A78"/>
    </a:custClr>
    <a:custClr name="Dark Blue">
      <a:srgbClr val="16184E"/>
    </a:custClr>
    <a:custClr name="Mid Blue">
      <a:srgbClr val="0069B1"/>
    </a:custClr>
    <a:custClr name="Bright Blue">
      <a:srgbClr val="34A6DC"/>
    </a:custClr>
    <a:custClr name="Light Blue">
      <a:srgbClr val="CDEBF6"/>
    </a:custClr>
    <a:custClr name="Ice Blue">
      <a:srgbClr val="ECF4FC"/>
    </a:custClr>
    <a:custClr name="Grey">
      <a:srgbClr val="EDF1F7"/>
    </a:custClr>
    <a:custClr name="Light Violet">
      <a:srgbClr val="C18EBD"/>
    </a:custClr>
    <a:custClr name="Rubine Red">
      <a:srgbClr val="D4065D"/>
    </a:custClr>
    <a:custClr name="White">
      <a:srgbClr val="FFFFFF"/>
    </a:custClr>
    <a:custClr name="Turquoise">
      <a:srgbClr val="3BB8B8"/>
    </a:custClr>
    <a:custClr name="Petrol">
      <a:srgbClr val="24778D"/>
    </a:custClr>
    <a:custClr name="Summer Green">
      <a:srgbClr val="25A62D"/>
    </a:custClr>
    <a:custClr name="Spring Green">
      <a:srgbClr val="C9DD03"/>
    </a:custClr>
    <a:custClr name="Autumn Green">
      <a:srgbClr val="A1AC05"/>
    </a:custClr>
    <a:custClr name="Lucent Yellow">
      <a:srgbClr val="FFE600"/>
    </a:custClr>
    <a:custClr name="Sundown Orange">
      <a:srgbClr val="F28011"/>
    </a:custClr>
    <a:custClr name="Night Violet">
      <a:srgbClr val="431661"/>
    </a:custClr>
    <a:custClr name="Bright Red">
      <a:srgbClr val="E7001D"/>
    </a:custClr>
    <a:custClr name="White">
      <a:srgbClr val="FFFFFF"/>
    </a:custClr>
  </a:custClrLst>
  <a:extLst>
    <a:ext uri="{05A4C25C-085E-4340-85A3-A5531E510DB2}">
      <thm15:themeFamily xmlns:thm15="http://schemas.microsoft.com/office/thememl/2012/main" name="db24-bright-2025-01" id="{CE5E6E1F-4E6A-41FC-A1CC-BAD2791C7B66}" vid="{7C94FF46-8220-4740-BE68-35FA3E1CCF6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3">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C5EAE644-BFBC-4A06-96DC-17256E7DCF55}">
  <we:reference id="wa104381727" version="1.0.1.0" store="de-DE" storeType="OMEX"/>
  <we:alternateReferences>
    <we:reference id="WA104381727" version="1.0.1.0" store="" storeType="OMEX"/>
  </we:alternateReferences>
  <we:properties>
    <we:property name="documentId" value="&quot;312d2db243a98c84&quot;"/>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EAA3841-B27E-4519-860E-FE4A527010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741</Words>
  <Characters>4934</Characters>
  <Application>Microsoft Office Word</Application>
  <DocSecurity>0</DocSecurity>
  <Lines>88</Lines>
  <Paragraphs>29</Paragraphs>
  <ScaleCrop>false</ScaleCrop>
  <Company/>
  <LinksUpToDate>false</LinksUpToDate>
  <CharactersWithSpaces>5646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2026-03-17T16:40:00Z</dcterms:created>
  <dcterms:modified xsi:type="dcterms:W3CDTF">2026-03-18T13:51:00Z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b7f8449-e5d3-4eba-8da7-ffd6ca5bf3e9_Enabled">
    <vt:lpwstr>true</vt:lpwstr>
  </property>
  <property fmtid="{D5CDD505-2E9C-101B-9397-08002B2CF9AE}" pid="3" name="MSIP_Label_1b7f8449-e5d3-4eba-8da7-ffd6ca5bf3e9_SetDate">
    <vt:lpwstr>2026-03-17T16:39:14Z</vt:lpwstr>
  </property>
  <property fmtid="{D5CDD505-2E9C-101B-9397-08002B2CF9AE}" pid="4" name="MSIP_Label_1b7f8449-e5d3-4eba-8da7-ffd6ca5bf3e9_Method">
    <vt:lpwstr>Privileged</vt:lpwstr>
  </property>
  <property fmtid="{D5CDD505-2E9C-101B-9397-08002B2CF9AE}" pid="5" name="MSIP_Label_1b7f8449-e5d3-4eba-8da7-ffd6ca5bf3e9_Name">
    <vt:lpwstr>1b7f8449-e5d3-4eba-8da7-ffd6ca5bf3e9</vt:lpwstr>
  </property>
  <property fmtid="{D5CDD505-2E9C-101B-9397-08002B2CF9AE}" pid="6" name="MSIP_Label_1b7f8449-e5d3-4eba-8da7-ffd6ca5bf3e9_SiteId">
    <vt:lpwstr>1e9b61e8-e590-4abc-b1af-24125e330d2a</vt:lpwstr>
  </property>
  <property fmtid="{D5CDD505-2E9C-101B-9397-08002B2CF9AE}" pid="7" name="MSIP_Label_1b7f8449-e5d3-4eba-8da7-ffd6ca5bf3e9_ActionId">
    <vt:lpwstr>83f6f3ed-d154-4b64-9428-01cdb432f0da</vt:lpwstr>
  </property>
  <property fmtid="{D5CDD505-2E9C-101B-9397-08002B2CF9AE}" pid="8" name="MSIP_Label_1b7f8449-e5d3-4eba-8da7-ffd6ca5bf3e9_ContentBits">
    <vt:lpwstr>0</vt:lpwstr>
  </property>
  <property fmtid="{D5CDD505-2E9C-101B-9397-08002B2CF9AE}" pid="9" name="MSIP_Label_1b7f8449-e5d3-4eba-8da7-ffd6ca5bf3e9_Tag">
    <vt:lpwstr>10, 0, 1, 1</vt:lpwstr>
  </property>
</Properties>
</file>