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8F81D4" w14:textId="77777777" w:rsidR="001C2D1F" w:rsidRPr="001C2D1F" w:rsidRDefault="001C2D1F" w:rsidP="001C2D1F">
      <w:pPr>
        <w:rPr>
          <w:rFonts w:ascii="Arial" w:hAnsi="Arial" w:cs="Arial"/>
          <w:b/>
          <w:color w:val="101920" w:themeColor="text1"/>
          <w:sz w:val="48"/>
          <w:szCs w:val="48"/>
        </w:rPr>
      </w:pPr>
      <w:r w:rsidRPr="001C2D1F">
        <w:rPr>
          <w:rFonts w:ascii="Arial" w:hAnsi="Arial" w:cs="Arial"/>
          <w:b/>
          <w:color w:val="101920" w:themeColor="text1"/>
          <w:sz w:val="48"/>
          <w:szCs w:val="48"/>
        </w:rPr>
        <w:t>Pressemitteilung</w:t>
      </w:r>
    </w:p>
    <w:p w14:paraId="7E748C8F" w14:textId="77777777" w:rsidR="001C2D1F" w:rsidRPr="00013566" w:rsidRDefault="001C2D1F" w:rsidP="001C2D1F">
      <w:pPr>
        <w:rPr>
          <w:rFonts w:ascii="Arial" w:hAnsi="Arial" w:cs="Arial"/>
          <w:bCs/>
          <w:sz w:val="22"/>
          <w:szCs w:val="22"/>
        </w:rPr>
      </w:pPr>
      <w:r>
        <w:rPr>
          <w:rFonts w:ascii="Arial" w:hAnsi="Arial" w:cs="Arial"/>
          <w:bCs/>
          <w:sz w:val="22"/>
          <w:szCs w:val="22"/>
        </w:rPr>
        <w:t>29. Januar 2026</w:t>
      </w:r>
    </w:p>
    <w:p w14:paraId="58415564" w14:textId="77777777" w:rsidR="001C2D1F" w:rsidRDefault="001C2D1F" w:rsidP="001C2D1F">
      <w:pPr>
        <w:rPr>
          <w:rFonts w:ascii="Arial" w:hAnsi="Arial" w:cs="Arial"/>
          <w:b/>
          <w:color w:val="6B6B6B"/>
        </w:rPr>
      </w:pPr>
    </w:p>
    <w:p w14:paraId="0EFB5E5B" w14:textId="77777777" w:rsidR="001C2D1F" w:rsidRDefault="001C2D1F" w:rsidP="001C2D1F">
      <w:pPr>
        <w:rPr>
          <w:rFonts w:ascii="Arial" w:hAnsi="Arial" w:cs="Arial"/>
          <w:b/>
          <w:color w:val="6B6B6B"/>
        </w:rPr>
      </w:pPr>
    </w:p>
    <w:p w14:paraId="55986CAF" w14:textId="77777777" w:rsidR="001C2D1F" w:rsidRPr="004F20E4" w:rsidRDefault="001C2D1F" w:rsidP="001C2D1F">
      <w:pPr>
        <w:rPr>
          <w:rFonts w:ascii="Arial" w:hAnsi="Arial" w:cs="Arial"/>
          <w:b/>
          <w:color w:val="6B6B6B"/>
        </w:rPr>
      </w:pPr>
    </w:p>
    <w:p w14:paraId="5D75B884" w14:textId="77777777" w:rsidR="001C2D1F" w:rsidRPr="001C2D1F" w:rsidRDefault="001C2D1F" w:rsidP="001C2D1F">
      <w:pPr>
        <w:rPr>
          <w:rFonts w:ascii="Arial" w:hAnsi="Arial" w:cs="Arial"/>
          <w:b/>
          <w:color w:val="FD5000"/>
          <w:sz w:val="32"/>
          <w:szCs w:val="32"/>
        </w:rPr>
      </w:pPr>
      <w:r w:rsidRPr="001C2D1F">
        <w:rPr>
          <w:rFonts w:ascii="Arial" w:hAnsi="Arial" w:cs="Arial"/>
          <w:b/>
          <w:color w:val="FD5000"/>
          <w:sz w:val="32"/>
          <w:szCs w:val="32"/>
        </w:rPr>
        <w:t>norisbank Umfrage zum Sparverhalten</w:t>
      </w:r>
    </w:p>
    <w:p w14:paraId="08347BF8" w14:textId="77777777" w:rsidR="001C2D1F" w:rsidRPr="00FA40CB" w:rsidRDefault="001C2D1F" w:rsidP="001C2D1F">
      <w:pPr>
        <w:rPr>
          <w:rFonts w:ascii="Arial" w:hAnsi="Arial" w:cs="Arial"/>
          <w:sz w:val="32"/>
          <w:szCs w:val="32"/>
        </w:rPr>
      </w:pPr>
      <w:r w:rsidRPr="00FA40CB">
        <w:rPr>
          <w:rFonts w:ascii="Arial" w:hAnsi="Arial" w:cs="Arial"/>
          <w:sz w:val="32"/>
          <w:szCs w:val="32"/>
        </w:rPr>
        <w:t xml:space="preserve">Der Sparwille der Deutschen bleibt ungebrochen, trotz Preissteigerungen und Unsicherheiten </w:t>
      </w:r>
    </w:p>
    <w:p w14:paraId="60848EAA" w14:textId="77777777" w:rsidR="001C2D1F" w:rsidRDefault="001C2D1F" w:rsidP="001C2D1F">
      <w:pPr>
        <w:rPr>
          <w:rFonts w:ascii="Arial" w:hAnsi="Arial" w:cs="Arial"/>
          <w:color w:val="FF0000"/>
          <w:sz w:val="32"/>
          <w:szCs w:val="32"/>
        </w:rPr>
      </w:pPr>
    </w:p>
    <w:p w14:paraId="58620B17" w14:textId="77777777" w:rsidR="001C2D1F" w:rsidRDefault="001C2D1F" w:rsidP="001C2D1F">
      <w:pPr>
        <w:pStyle w:val="Listenabsatz"/>
        <w:numPr>
          <w:ilvl w:val="0"/>
          <w:numId w:val="7"/>
        </w:numPr>
        <w:spacing w:line="360" w:lineRule="auto"/>
        <w:ind w:left="426" w:hanging="426"/>
        <w:rPr>
          <w:rFonts w:ascii="Arial" w:hAnsi="Arial" w:cs="Arial"/>
          <w:b/>
          <w:bCs/>
          <w:color w:val="101920" w:themeColor="text1"/>
        </w:rPr>
      </w:pPr>
      <w:r>
        <w:rPr>
          <w:rFonts w:ascii="Arial" w:hAnsi="Arial" w:cs="Arial"/>
          <w:b/>
          <w:bCs/>
          <w:color w:val="101920" w:themeColor="text1"/>
        </w:rPr>
        <w:t>Mehr als j</w:t>
      </w:r>
      <w:r w:rsidRPr="00BA5559">
        <w:rPr>
          <w:rFonts w:ascii="Arial" w:hAnsi="Arial" w:cs="Arial"/>
          <w:b/>
          <w:bCs/>
          <w:color w:val="101920" w:themeColor="text1"/>
        </w:rPr>
        <w:t xml:space="preserve">ede*r Zweite </w:t>
      </w:r>
      <w:r>
        <w:rPr>
          <w:rFonts w:ascii="Arial" w:hAnsi="Arial" w:cs="Arial"/>
          <w:b/>
          <w:bCs/>
          <w:color w:val="101920" w:themeColor="text1"/>
        </w:rPr>
        <w:t>konnte</w:t>
      </w:r>
      <w:r w:rsidRPr="00BA5559">
        <w:rPr>
          <w:rFonts w:ascii="Arial" w:hAnsi="Arial" w:cs="Arial"/>
          <w:b/>
          <w:bCs/>
          <w:color w:val="101920" w:themeColor="text1"/>
        </w:rPr>
        <w:t xml:space="preserve"> 2025 </w:t>
      </w:r>
      <w:r>
        <w:rPr>
          <w:rFonts w:ascii="Arial" w:hAnsi="Arial" w:cs="Arial"/>
          <w:b/>
          <w:bCs/>
          <w:color w:val="101920" w:themeColor="text1"/>
        </w:rPr>
        <w:t>sparen</w:t>
      </w:r>
    </w:p>
    <w:p w14:paraId="44504A72" w14:textId="77777777" w:rsidR="001C2D1F" w:rsidRDefault="001C2D1F" w:rsidP="001C2D1F">
      <w:pPr>
        <w:pStyle w:val="Listenabsatz"/>
        <w:numPr>
          <w:ilvl w:val="0"/>
          <w:numId w:val="7"/>
        </w:numPr>
        <w:spacing w:line="360" w:lineRule="auto"/>
        <w:ind w:left="426" w:right="282" w:hanging="426"/>
        <w:rPr>
          <w:rFonts w:ascii="Arial" w:hAnsi="Arial" w:cs="Arial"/>
          <w:b/>
          <w:bCs/>
          <w:color w:val="101920" w:themeColor="text1"/>
        </w:rPr>
      </w:pPr>
      <w:r>
        <w:rPr>
          <w:rFonts w:ascii="Arial" w:hAnsi="Arial" w:cs="Arial"/>
          <w:b/>
          <w:bCs/>
          <w:color w:val="101920" w:themeColor="text1"/>
        </w:rPr>
        <w:t>Steigende Preise</w:t>
      </w:r>
      <w:r w:rsidRPr="00BA5559">
        <w:rPr>
          <w:rFonts w:ascii="Arial" w:hAnsi="Arial" w:cs="Arial"/>
          <w:b/>
          <w:bCs/>
          <w:color w:val="101920" w:themeColor="text1"/>
        </w:rPr>
        <w:t xml:space="preserve"> führte</w:t>
      </w:r>
      <w:r>
        <w:rPr>
          <w:rFonts w:ascii="Arial" w:hAnsi="Arial" w:cs="Arial"/>
          <w:b/>
          <w:bCs/>
          <w:color w:val="101920" w:themeColor="text1"/>
        </w:rPr>
        <w:t xml:space="preserve">n bei vielen </w:t>
      </w:r>
      <w:r w:rsidRPr="00BA5559">
        <w:rPr>
          <w:rFonts w:ascii="Arial" w:hAnsi="Arial" w:cs="Arial"/>
          <w:b/>
          <w:bCs/>
          <w:color w:val="101920" w:themeColor="text1"/>
        </w:rPr>
        <w:t>zu bewussterem Umgang mit Geld</w:t>
      </w:r>
      <w:r w:rsidRPr="00BA5559">
        <w:rPr>
          <w:rFonts w:ascii="Arial" w:hAnsi="Arial" w:cs="Arial" w:hint="eastAsia"/>
          <w:b/>
          <w:bCs/>
          <w:color w:val="101920" w:themeColor="text1"/>
        </w:rPr>
        <w:t> </w:t>
      </w:r>
    </w:p>
    <w:p w14:paraId="5744D021" w14:textId="77777777" w:rsidR="001C2D1F" w:rsidRPr="00BA5559" w:rsidRDefault="001C2D1F" w:rsidP="001C2D1F">
      <w:pPr>
        <w:pStyle w:val="Listenabsatz"/>
        <w:numPr>
          <w:ilvl w:val="0"/>
          <w:numId w:val="7"/>
        </w:numPr>
        <w:spacing w:line="360" w:lineRule="auto"/>
        <w:ind w:left="426" w:hanging="426"/>
        <w:rPr>
          <w:rFonts w:ascii="Arial" w:hAnsi="Arial" w:cs="Arial"/>
          <w:b/>
          <w:bCs/>
          <w:color w:val="101920" w:themeColor="text1"/>
        </w:rPr>
      </w:pPr>
      <w:r w:rsidRPr="00BA5559">
        <w:rPr>
          <w:rFonts w:ascii="Arial" w:hAnsi="Arial" w:cs="Arial"/>
          <w:b/>
          <w:bCs/>
          <w:color w:val="101920" w:themeColor="text1"/>
        </w:rPr>
        <w:t>Inflation bleibt</w:t>
      </w:r>
      <w:r>
        <w:rPr>
          <w:rFonts w:ascii="Arial" w:hAnsi="Arial" w:cs="Arial"/>
          <w:b/>
          <w:bCs/>
          <w:color w:val="101920" w:themeColor="text1"/>
        </w:rPr>
        <w:t xml:space="preserve"> Thema, viele reagieren mit Weitblick</w:t>
      </w:r>
    </w:p>
    <w:p w14:paraId="05F15E3B" w14:textId="77777777" w:rsidR="001C2D1F" w:rsidRDefault="001C2D1F" w:rsidP="001C2D1F">
      <w:pPr>
        <w:rPr>
          <w:rFonts w:ascii="Arial" w:hAnsi="Arial" w:cs="Arial"/>
          <w:color w:val="FF0000"/>
          <w:sz w:val="32"/>
          <w:szCs w:val="32"/>
        </w:rPr>
      </w:pPr>
    </w:p>
    <w:p w14:paraId="17B8A18D" w14:textId="77777777" w:rsidR="001C2D1F" w:rsidRDefault="001C2D1F" w:rsidP="001C2D1F">
      <w:pPr>
        <w:spacing w:line="360" w:lineRule="auto"/>
        <w:rPr>
          <w:rFonts w:ascii="Arial" w:hAnsi="Arial" w:cs="Arial"/>
          <w:b/>
          <w:bCs/>
          <w:sz w:val="18"/>
          <w:szCs w:val="18"/>
          <w:lang w:eastAsia="ja-JP"/>
        </w:rPr>
      </w:pPr>
      <w:r w:rsidRPr="0024750F">
        <w:rPr>
          <w:rFonts w:ascii="Arial" w:hAnsi="Arial" w:cs="Arial"/>
          <w:sz w:val="18"/>
          <w:szCs w:val="18"/>
          <w:lang w:eastAsia="ja-JP"/>
        </w:rPr>
        <w:t xml:space="preserve">Bonn, </w:t>
      </w:r>
      <w:r>
        <w:rPr>
          <w:rFonts w:ascii="Arial" w:hAnsi="Arial" w:cs="Arial"/>
          <w:sz w:val="18"/>
          <w:szCs w:val="18"/>
          <w:lang w:eastAsia="ja-JP"/>
        </w:rPr>
        <w:t>29.01.2026</w:t>
      </w:r>
      <w:r w:rsidRPr="00665D79">
        <w:rPr>
          <w:rFonts w:ascii="Arial" w:hAnsi="Arial" w:cs="Arial"/>
          <w:sz w:val="18"/>
          <w:szCs w:val="18"/>
          <w:lang w:eastAsia="ja-JP"/>
        </w:rPr>
        <w:t xml:space="preserve"> | </w:t>
      </w:r>
      <w:r w:rsidRPr="00BA5559">
        <w:rPr>
          <w:rFonts w:ascii="Arial" w:hAnsi="Arial" w:cs="Arial"/>
          <w:b/>
          <w:bCs/>
          <w:sz w:val="18"/>
          <w:szCs w:val="18"/>
          <w:lang w:eastAsia="ja-JP"/>
        </w:rPr>
        <w:t xml:space="preserve">Steigende Preise, wirtschaftliche Belastungen und eine </w:t>
      </w:r>
      <w:r>
        <w:rPr>
          <w:rFonts w:ascii="Arial" w:hAnsi="Arial" w:cs="Arial"/>
          <w:b/>
          <w:bCs/>
          <w:sz w:val="18"/>
          <w:szCs w:val="18"/>
          <w:lang w:eastAsia="ja-JP"/>
        </w:rPr>
        <w:t>zurückhaltende</w:t>
      </w:r>
      <w:r w:rsidRPr="00BA5559">
        <w:rPr>
          <w:rFonts w:ascii="Arial" w:hAnsi="Arial" w:cs="Arial"/>
          <w:b/>
          <w:bCs/>
          <w:sz w:val="18"/>
          <w:szCs w:val="18"/>
          <w:lang w:eastAsia="ja-JP"/>
        </w:rPr>
        <w:t xml:space="preserve"> Konsum</w:t>
      </w:r>
      <w:r>
        <w:rPr>
          <w:rFonts w:ascii="Arial" w:hAnsi="Arial" w:cs="Arial"/>
          <w:b/>
          <w:bCs/>
          <w:sz w:val="18"/>
          <w:szCs w:val="18"/>
          <w:lang w:eastAsia="ja-JP"/>
        </w:rPr>
        <w:t>stimmung</w:t>
      </w:r>
      <w:r w:rsidRPr="00BA5559">
        <w:rPr>
          <w:rFonts w:ascii="Arial" w:hAnsi="Arial" w:cs="Arial"/>
          <w:b/>
          <w:bCs/>
          <w:sz w:val="18"/>
          <w:szCs w:val="18"/>
          <w:lang w:eastAsia="ja-JP"/>
        </w:rPr>
        <w:t xml:space="preserve"> </w:t>
      </w:r>
      <w:r>
        <w:rPr>
          <w:rFonts w:ascii="Arial" w:hAnsi="Arial" w:cs="Arial"/>
          <w:b/>
          <w:bCs/>
          <w:sz w:val="18"/>
          <w:szCs w:val="18"/>
          <w:lang w:eastAsia="ja-JP"/>
        </w:rPr>
        <w:t xml:space="preserve">prägten </w:t>
      </w:r>
      <w:r w:rsidRPr="00BA5559">
        <w:rPr>
          <w:rFonts w:ascii="Arial" w:hAnsi="Arial" w:cs="Arial"/>
          <w:b/>
          <w:bCs/>
          <w:sz w:val="18"/>
          <w:szCs w:val="18"/>
          <w:lang w:eastAsia="ja-JP"/>
        </w:rPr>
        <w:t>2025. Für viele war es ein finanziell forderndes Jahr</w:t>
      </w:r>
      <w:r>
        <w:rPr>
          <w:rFonts w:ascii="Arial" w:hAnsi="Arial" w:cs="Arial"/>
          <w:b/>
          <w:bCs/>
          <w:sz w:val="18"/>
          <w:szCs w:val="18"/>
          <w:lang w:eastAsia="ja-JP"/>
        </w:rPr>
        <w:t>:</w:t>
      </w:r>
      <w:r w:rsidRPr="00BA5559">
        <w:rPr>
          <w:rFonts w:ascii="Arial" w:hAnsi="Arial" w:cs="Arial"/>
          <w:b/>
          <w:bCs/>
          <w:sz w:val="18"/>
          <w:szCs w:val="18"/>
          <w:lang w:eastAsia="ja-JP"/>
        </w:rPr>
        <w:t xml:space="preserve"> Die Inflation blieb </w:t>
      </w:r>
      <w:r>
        <w:rPr>
          <w:rFonts w:ascii="Arial" w:hAnsi="Arial" w:cs="Arial"/>
          <w:b/>
          <w:bCs/>
          <w:sz w:val="18"/>
          <w:szCs w:val="18"/>
          <w:lang w:eastAsia="ja-JP"/>
        </w:rPr>
        <w:t>hoch</w:t>
      </w:r>
      <w:r w:rsidRPr="00BA5559">
        <w:rPr>
          <w:rFonts w:ascii="Arial" w:hAnsi="Arial" w:cs="Arial"/>
          <w:b/>
          <w:bCs/>
          <w:sz w:val="18"/>
          <w:szCs w:val="18"/>
          <w:lang w:eastAsia="ja-JP"/>
        </w:rPr>
        <w:t xml:space="preserve">, </w:t>
      </w:r>
      <w:r>
        <w:rPr>
          <w:rFonts w:ascii="Arial" w:hAnsi="Arial" w:cs="Arial"/>
          <w:b/>
          <w:bCs/>
          <w:sz w:val="18"/>
          <w:szCs w:val="18"/>
          <w:lang w:eastAsia="ja-JP"/>
        </w:rPr>
        <w:t xml:space="preserve">die </w:t>
      </w:r>
      <w:r w:rsidRPr="00BA5559">
        <w:rPr>
          <w:rFonts w:ascii="Arial" w:hAnsi="Arial" w:cs="Arial"/>
          <w:b/>
          <w:bCs/>
          <w:sz w:val="18"/>
          <w:szCs w:val="18"/>
          <w:lang w:eastAsia="ja-JP"/>
        </w:rPr>
        <w:t xml:space="preserve">Energiepreise schwankten und bei größeren Anschaffungen wurde </w:t>
      </w:r>
      <w:r>
        <w:rPr>
          <w:rFonts w:ascii="Arial" w:hAnsi="Arial" w:cs="Arial"/>
          <w:b/>
          <w:bCs/>
          <w:sz w:val="18"/>
          <w:szCs w:val="18"/>
          <w:lang w:eastAsia="ja-JP"/>
        </w:rPr>
        <w:t>genau</w:t>
      </w:r>
      <w:r w:rsidRPr="00BA5559">
        <w:rPr>
          <w:rFonts w:ascii="Arial" w:hAnsi="Arial" w:cs="Arial"/>
          <w:b/>
          <w:bCs/>
          <w:sz w:val="18"/>
          <w:szCs w:val="18"/>
          <w:lang w:eastAsia="ja-JP"/>
        </w:rPr>
        <w:t xml:space="preserve"> hingeschaut. </w:t>
      </w:r>
      <w:r>
        <w:rPr>
          <w:rFonts w:ascii="Arial" w:hAnsi="Arial" w:cs="Arial"/>
          <w:b/>
          <w:bCs/>
          <w:sz w:val="18"/>
          <w:szCs w:val="18"/>
          <w:lang w:eastAsia="ja-JP"/>
        </w:rPr>
        <w:t>Und doch zeigt eine aktuelle Umfrage im Auftrag der norisbank: Das Sparverhalten der Deutschen hat sich trotz aller Herausforderungen kaum verändert. Der Wille, Rücklagen zu bilden, bleibt weiterhin hoch. Aber – das gehört auch zur Wahrheit dazu: Nicht alle Befragten konnten sparen.</w:t>
      </w:r>
    </w:p>
    <w:p w14:paraId="211A66D5" w14:textId="77777777" w:rsidR="001C2D1F" w:rsidRPr="005E421B" w:rsidRDefault="001C2D1F" w:rsidP="001C2D1F">
      <w:pPr>
        <w:spacing w:line="360" w:lineRule="auto"/>
        <w:rPr>
          <w:rFonts w:ascii="Arial" w:hAnsi="Arial" w:cs="Arial"/>
          <w:sz w:val="18"/>
          <w:szCs w:val="18"/>
          <w:lang w:eastAsia="ja-JP"/>
        </w:rPr>
      </w:pPr>
    </w:p>
    <w:p w14:paraId="0CE7AD3C" w14:textId="77777777" w:rsidR="001C2D1F" w:rsidRDefault="001C2D1F" w:rsidP="001C2D1F">
      <w:pPr>
        <w:spacing w:line="360" w:lineRule="auto"/>
        <w:rPr>
          <w:rFonts w:ascii="Arial" w:hAnsi="Arial" w:cs="Arial"/>
          <w:sz w:val="18"/>
          <w:szCs w:val="18"/>
          <w:lang w:eastAsia="ja-JP"/>
        </w:rPr>
      </w:pPr>
      <w:r w:rsidRPr="00BA5559">
        <w:rPr>
          <w:rFonts w:ascii="Arial" w:hAnsi="Arial" w:cs="Arial"/>
          <w:sz w:val="18"/>
          <w:szCs w:val="18"/>
          <w:lang w:eastAsia="ja-JP"/>
        </w:rPr>
        <w:t xml:space="preserve">Diejenigen, die 2025 sparen konnten, </w:t>
      </w:r>
      <w:r>
        <w:rPr>
          <w:rFonts w:ascii="Arial" w:hAnsi="Arial" w:cs="Arial"/>
          <w:sz w:val="18"/>
          <w:szCs w:val="18"/>
          <w:lang w:eastAsia="ja-JP"/>
        </w:rPr>
        <w:t>taten es, weil sie es sich leisten konnten</w:t>
      </w:r>
      <w:r w:rsidRPr="00BA5559">
        <w:rPr>
          <w:rFonts w:ascii="Arial" w:hAnsi="Arial" w:cs="Arial"/>
          <w:sz w:val="18"/>
          <w:szCs w:val="18"/>
          <w:lang w:eastAsia="ja-JP"/>
        </w:rPr>
        <w:t xml:space="preserve">. </w:t>
      </w:r>
      <w:r>
        <w:rPr>
          <w:rFonts w:ascii="Arial" w:hAnsi="Arial" w:cs="Arial"/>
          <w:sz w:val="18"/>
          <w:szCs w:val="18"/>
          <w:lang w:eastAsia="ja-JP"/>
        </w:rPr>
        <w:t>Rund</w:t>
      </w:r>
      <w:r w:rsidRPr="00BA5559">
        <w:rPr>
          <w:rFonts w:ascii="Arial" w:hAnsi="Arial" w:cs="Arial"/>
          <w:sz w:val="18"/>
          <w:szCs w:val="18"/>
          <w:lang w:eastAsia="ja-JP"/>
        </w:rPr>
        <w:t xml:space="preserve"> die Hälfte von ihnen </w:t>
      </w:r>
      <w:r>
        <w:rPr>
          <w:rFonts w:ascii="Arial" w:hAnsi="Arial" w:cs="Arial"/>
          <w:sz w:val="18"/>
          <w:szCs w:val="18"/>
          <w:lang w:eastAsia="ja-JP"/>
        </w:rPr>
        <w:t xml:space="preserve">(50,5 Prozent) </w:t>
      </w:r>
      <w:r w:rsidRPr="00BA5559">
        <w:rPr>
          <w:rFonts w:ascii="Arial" w:hAnsi="Arial" w:cs="Arial"/>
          <w:sz w:val="18"/>
          <w:szCs w:val="18"/>
          <w:lang w:eastAsia="ja-JP"/>
        </w:rPr>
        <w:t>gab an, mehr Geld zur Verfügung gehabt zu haben</w:t>
      </w:r>
      <w:r>
        <w:rPr>
          <w:rFonts w:ascii="Arial" w:hAnsi="Arial" w:cs="Arial"/>
          <w:sz w:val="18"/>
          <w:szCs w:val="18"/>
          <w:lang w:eastAsia="ja-JP"/>
        </w:rPr>
        <w:t>, d</w:t>
      </w:r>
      <w:r w:rsidRPr="00BA5559">
        <w:rPr>
          <w:rFonts w:ascii="Arial" w:hAnsi="Arial" w:cs="Arial"/>
          <w:sz w:val="18"/>
          <w:szCs w:val="18"/>
          <w:lang w:eastAsia="ja-JP"/>
        </w:rPr>
        <w:t>arunter vor allem junge Menschen zwischen 18 und 29 Jahren (46,0 </w:t>
      </w:r>
      <w:r>
        <w:rPr>
          <w:rFonts w:ascii="Arial" w:hAnsi="Arial" w:cs="Arial"/>
          <w:sz w:val="18"/>
          <w:szCs w:val="18"/>
          <w:lang w:eastAsia="ja-JP"/>
        </w:rPr>
        <w:t>Prozent</w:t>
      </w:r>
      <w:r w:rsidRPr="00BA5559">
        <w:rPr>
          <w:rFonts w:ascii="Arial" w:hAnsi="Arial" w:cs="Arial"/>
          <w:sz w:val="18"/>
          <w:szCs w:val="18"/>
          <w:lang w:eastAsia="ja-JP"/>
        </w:rPr>
        <w:t>) sowie Haushalte mit einem Nettoeinkommen ab 2.500 Euro (22,4 </w:t>
      </w:r>
      <w:r>
        <w:rPr>
          <w:rFonts w:ascii="Arial" w:hAnsi="Arial" w:cs="Arial"/>
          <w:sz w:val="18"/>
          <w:szCs w:val="18"/>
          <w:lang w:eastAsia="ja-JP"/>
        </w:rPr>
        <w:t>Prozent)</w:t>
      </w:r>
      <w:r w:rsidRPr="00BA5559">
        <w:rPr>
          <w:rFonts w:ascii="Arial" w:hAnsi="Arial" w:cs="Arial"/>
          <w:sz w:val="18"/>
          <w:szCs w:val="18"/>
          <w:lang w:eastAsia="ja-JP"/>
        </w:rPr>
        <w:t xml:space="preserve">. </w:t>
      </w:r>
      <w:r w:rsidRPr="005E421B">
        <w:rPr>
          <w:rFonts w:ascii="Arial" w:hAnsi="Arial" w:cs="Arial"/>
          <w:sz w:val="18"/>
          <w:szCs w:val="18"/>
          <w:lang w:eastAsia="ja-JP"/>
        </w:rPr>
        <w:t xml:space="preserve">Für viele stand dabei die Sicherheit im Vordergrund. </w:t>
      </w:r>
      <w:r>
        <w:rPr>
          <w:rFonts w:ascii="Arial" w:hAnsi="Arial" w:cs="Arial"/>
          <w:sz w:val="18"/>
          <w:szCs w:val="18"/>
          <w:lang w:eastAsia="ja-JP"/>
        </w:rPr>
        <w:t xml:space="preserve">Unter denjenigen, die 2025 mehr gespart haben, führten </w:t>
      </w:r>
      <w:r w:rsidRPr="005E421B">
        <w:rPr>
          <w:rFonts w:ascii="Arial" w:hAnsi="Arial" w:cs="Arial"/>
          <w:sz w:val="18"/>
          <w:szCs w:val="18"/>
          <w:lang w:eastAsia="ja-JP"/>
        </w:rPr>
        <w:t xml:space="preserve">46,7 Prozent das gute Gefühl eines finanziellen Polsters </w:t>
      </w:r>
      <w:r>
        <w:rPr>
          <w:rFonts w:ascii="Arial" w:hAnsi="Arial" w:cs="Arial"/>
          <w:sz w:val="18"/>
          <w:szCs w:val="18"/>
          <w:lang w:eastAsia="ja-JP"/>
        </w:rPr>
        <w:t>als Motivationsgrund an</w:t>
      </w:r>
      <w:r w:rsidRPr="005E421B">
        <w:rPr>
          <w:rFonts w:ascii="Arial" w:hAnsi="Arial" w:cs="Arial"/>
          <w:sz w:val="18"/>
          <w:szCs w:val="18"/>
          <w:lang w:eastAsia="ja-JP"/>
        </w:rPr>
        <w:t xml:space="preserve">. Jeder Fünfte nutzte die Gelegenheit, von attraktiven Zinsen auf Tages- und Festgeld zu profitieren. Weitere 27,8 Prozent </w:t>
      </w:r>
      <w:r>
        <w:rPr>
          <w:rFonts w:ascii="Arial" w:hAnsi="Arial" w:cs="Arial"/>
          <w:sz w:val="18"/>
          <w:szCs w:val="18"/>
          <w:lang w:eastAsia="ja-JP"/>
        </w:rPr>
        <w:t>sagten, sie hielten die Chancen an der Börse für vielversprechend und wollten diese bewusst nutzen.</w:t>
      </w:r>
      <w:r w:rsidRPr="005E421B">
        <w:rPr>
          <w:rFonts w:ascii="Arial" w:hAnsi="Arial" w:cs="Arial"/>
          <w:sz w:val="18"/>
          <w:szCs w:val="18"/>
          <w:lang w:eastAsia="ja-JP"/>
        </w:rPr>
        <w:t xml:space="preserve"> </w:t>
      </w:r>
    </w:p>
    <w:p w14:paraId="2EED7E96" w14:textId="77777777" w:rsidR="001C2D1F" w:rsidRDefault="001C2D1F" w:rsidP="001C2D1F">
      <w:pPr>
        <w:spacing w:line="360" w:lineRule="auto"/>
        <w:rPr>
          <w:rFonts w:ascii="Arial" w:hAnsi="Arial" w:cs="Arial"/>
          <w:b/>
          <w:bCs/>
          <w:sz w:val="18"/>
          <w:szCs w:val="18"/>
          <w:lang w:eastAsia="ja-JP"/>
        </w:rPr>
      </w:pPr>
    </w:p>
    <w:p w14:paraId="681E0546" w14:textId="77777777" w:rsidR="001C2D1F" w:rsidRPr="00BA5559" w:rsidRDefault="001C2D1F" w:rsidP="001C2D1F">
      <w:pPr>
        <w:spacing w:line="360" w:lineRule="auto"/>
        <w:rPr>
          <w:rFonts w:ascii="MS Gothic" w:eastAsia="MS Gothic" w:hAnsi="MS Gothic" w:cs="MS Gothic"/>
          <w:b/>
          <w:bCs/>
          <w:sz w:val="18"/>
          <w:szCs w:val="18"/>
          <w:lang w:eastAsia="ja-JP"/>
        </w:rPr>
      </w:pPr>
      <w:r>
        <w:rPr>
          <w:rFonts w:ascii="Arial" w:hAnsi="Arial" w:cs="Arial"/>
          <w:b/>
          <w:bCs/>
          <w:sz w:val="18"/>
          <w:szCs w:val="18"/>
          <w:lang w:eastAsia="ja-JP"/>
        </w:rPr>
        <w:t>Doch</w:t>
      </w:r>
      <w:r w:rsidRPr="00BA5559">
        <w:rPr>
          <w:rFonts w:ascii="Arial" w:hAnsi="Arial" w:cs="Arial"/>
          <w:b/>
          <w:bCs/>
          <w:sz w:val="18"/>
          <w:szCs w:val="18"/>
          <w:lang w:eastAsia="ja-JP"/>
        </w:rPr>
        <w:t xml:space="preserve"> nicht </w:t>
      </w:r>
      <w:r>
        <w:rPr>
          <w:rFonts w:ascii="Arial" w:hAnsi="Arial" w:cs="Arial"/>
          <w:b/>
          <w:bCs/>
          <w:sz w:val="18"/>
          <w:szCs w:val="18"/>
          <w:lang w:eastAsia="ja-JP"/>
        </w:rPr>
        <w:t>alle</w:t>
      </w:r>
      <w:r w:rsidRPr="00BA5559">
        <w:rPr>
          <w:rFonts w:ascii="Arial" w:hAnsi="Arial" w:cs="Arial"/>
          <w:b/>
          <w:bCs/>
          <w:sz w:val="18"/>
          <w:szCs w:val="18"/>
          <w:lang w:eastAsia="ja-JP"/>
        </w:rPr>
        <w:t xml:space="preserve"> konnte</w:t>
      </w:r>
      <w:r>
        <w:rPr>
          <w:rFonts w:ascii="Arial" w:hAnsi="Arial" w:cs="Arial"/>
          <w:b/>
          <w:bCs/>
          <w:sz w:val="18"/>
          <w:szCs w:val="18"/>
          <w:lang w:eastAsia="ja-JP"/>
        </w:rPr>
        <w:t>n</w:t>
      </w:r>
      <w:r w:rsidRPr="00BA5559">
        <w:rPr>
          <w:rFonts w:ascii="Arial" w:hAnsi="Arial" w:cs="Arial"/>
          <w:b/>
          <w:bCs/>
          <w:sz w:val="18"/>
          <w:szCs w:val="18"/>
          <w:lang w:eastAsia="ja-JP"/>
        </w:rPr>
        <w:t xml:space="preserve"> sparen</w:t>
      </w:r>
      <w:r w:rsidRPr="00BA5559">
        <w:rPr>
          <w:rFonts w:ascii="MS Gothic" w:eastAsia="MS Gothic" w:hAnsi="MS Gothic" w:cs="MS Gothic" w:hint="eastAsia"/>
          <w:b/>
          <w:bCs/>
          <w:sz w:val="18"/>
          <w:szCs w:val="18"/>
          <w:lang w:eastAsia="ja-JP"/>
        </w:rPr>
        <w:t> </w:t>
      </w:r>
    </w:p>
    <w:p w14:paraId="62BD44E4" w14:textId="77777777" w:rsidR="001C2D1F" w:rsidRPr="00BA5559" w:rsidRDefault="001C2D1F" w:rsidP="001C2D1F">
      <w:pPr>
        <w:spacing w:line="360" w:lineRule="auto"/>
        <w:rPr>
          <w:rFonts w:ascii="Arial" w:hAnsi="Arial" w:cs="Arial"/>
          <w:sz w:val="18"/>
          <w:szCs w:val="18"/>
          <w:lang w:eastAsia="ja-JP"/>
        </w:rPr>
      </w:pPr>
      <w:r>
        <w:rPr>
          <w:rFonts w:ascii="Arial" w:hAnsi="Arial" w:cs="Arial"/>
          <w:sz w:val="18"/>
          <w:szCs w:val="18"/>
          <w:lang w:eastAsia="ja-JP"/>
        </w:rPr>
        <w:t>Der Anteil derjenigen</w:t>
      </w:r>
      <w:r w:rsidRPr="00BA5559">
        <w:rPr>
          <w:rFonts w:ascii="Arial" w:hAnsi="Arial" w:cs="Arial"/>
          <w:sz w:val="18"/>
          <w:szCs w:val="18"/>
          <w:lang w:eastAsia="ja-JP"/>
        </w:rPr>
        <w:t>, die 2025 weniger sparen konnte</w:t>
      </w:r>
      <w:r>
        <w:rPr>
          <w:rFonts w:ascii="Arial" w:hAnsi="Arial" w:cs="Arial"/>
          <w:sz w:val="18"/>
          <w:szCs w:val="18"/>
          <w:lang w:eastAsia="ja-JP"/>
        </w:rPr>
        <w:t>n</w:t>
      </w:r>
      <w:r w:rsidRPr="00BA5559">
        <w:rPr>
          <w:rFonts w:ascii="Arial" w:hAnsi="Arial" w:cs="Arial"/>
          <w:sz w:val="18"/>
          <w:szCs w:val="18"/>
          <w:lang w:eastAsia="ja-JP"/>
        </w:rPr>
        <w:t xml:space="preserve">, </w:t>
      </w:r>
      <w:r>
        <w:rPr>
          <w:rFonts w:ascii="Arial" w:hAnsi="Arial" w:cs="Arial"/>
          <w:sz w:val="18"/>
          <w:szCs w:val="18"/>
          <w:lang w:eastAsia="ja-JP"/>
        </w:rPr>
        <w:t>blieb</w:t>
      </w:r>
      <w:r w:rsidRPr="00BA5559">
        <w:rPr>
          <w:rFonts w:ascii="Arial" w:hAnsi="Arial" w:cs="Arial"/>
          <w:sz w:val="18"/>
          <w:szCs w:val="18"/>
          <w:lang w:eastAsia="ja-JP"/>
        </w:rPr>
        <w:t xml:space="preserve"> mit 43,8 Prozent nahezu unverändert </w:t>
      </w:r>
      <w:r>
        <w:rPr>
          <w:rFonts w:ascii="Arial" w:hAnsi="Arial" w:cs="Arial"/>
          <w:sz w:val="18"/>
          <w:szCs w:val="18"/>
          <w:lang w:eastAsia="ja-JP"/>
        </w:rPr>
        <w:t>gegenüber dem</w:t>
      </w:r>
      <w:r w:rsidRPr="00BA5559">
        <w:rPr>
          <w:rFonts w:ascii="Arial" w:hAnsi="Arial" w:cs="Arial"/>
          <w:sz w:val="18"/>
          <w:szCs w:val="18"/>
          <w:lang w:eastAsia="ja-JP"/>
        </w:rPr>
        <w:t xml:space="preserve"> Vorjahr</w:t>
      </w:r>
      <w:r>
        <w:rPr>
          <w:rFonts w:ascii="Arial" w:hAnsi="Arial" w:cs="Arial"/>
          <w:sz w:val="18"/>
          <w:szCs w:val="18"/>
          <w:lang w:eastAsia="ja-JP"/>
        </w:rPr>
        <w:t xml:space="preserve"> (44,1 Prozent)</w:t>
      </w:r>
      <w:r w:rsidRPr="00BA5559">
        <w:rPr>
          <w:rFonts w:ascii="Arial" w:hAnsi="Arial" w:cs="Arial"/>
          <w:sz w:val="18"/>
          <w:szCs w:val="18"/>
          <w:lang w:eastAsia="ja-JP"/>
        </w:rPr>
        <w:t xml:space="preserve">. </w:t>
      </w:r>
      <w:r>
        <w:rPr>
          <w:rFonts w:ascii="Arial" w:hAnsi="Arial" w:cs="Arial"/>
          <w:sz w:val="18"/>
          <w:szCs w:val="18"/>
          <w:lang w:eastAsia="ja-JP"/>
        </w:rPr>
        <w:t>Als Hauptursache wurde ein geringeres</w:t>
      </w:r>
      <w:r w:rsidRPr="00BA5559">
        <w:rPr>
          <w:rFonts w:ascii="Arial" w:hAnsi="Arial" w:cs="Arial"/>
          <w:sz w:val="18"/>
          <w:szCs w:val="18"/>
          <w:lang w:eastAsia="ja-JP"/>
        </w:rPr>
        <w:t xml:space="preserve"> Einkommen</w:t>
      </w:r>
      <w:r>
        <w:rPr>
          <w:rFonts w:ascii="Arial" w:hAnsi="Arial" w:cs="Arial"/>
          <w:sz w:val="18"/>
          <w:szCs w:val="18"/>
          <w:lang w:eastAsia="ja-JP"/>
        </w:rPr>
        <w:t xml:space="preserve"> angeführt. B</w:t>
      </w:r>
      <w:r w:rsidRPr="00281ED2">
        <w:rPr>
          <w:rFonts w:ascii="Arial" w:hAnsi="Arial" w:cs="Arial"/>
          <w:sz w:val="18"/>
          <w:szCs w:val="18"/>
          <w:lang w:eastAsia="ja-JP"/>
        </w:rPr>
        <w:t>esonders stark betroffen</w:t>
      </w:r>
      <w:r>
        <w:rPr>
          <w:rFonts w:ascii="Arial" w:hAnsi="Arial" w:cs="Arial"/>
          <w:sz w:val="18"/>
          <w:szCs w:val="18"/>
          <w:lang w:eastAsia="ja-JP"/>
        </w:rPr>
        <w:t xml:space="preserve"> waren</w:t>
      </w:r>
      <w:r w:rsidRPr="00281ED2">
        <w:rPr>
          <w:rFonts w:ascii="Arial" w:hAnsi="Arial" w:cs="Arial"/>
          <w:sz w:val="18"/>
          <w:szCs w:val="18"/>
          <w:lang w:eastAsia="ja-JP"/>
        </w:rPr>
        <w:t xml:space="preserve"> Haushalte mit einem monatlichen Nettoeinkommen unter 2.500 Euro (59,8 Prozent).</w:t>
      </w:r>
      <w:r>
        <w:rPr>
          <w:rFonts w:ascii="Arial" w:hAnsi="Arial" w:cs="Arial"/>
          <w:sz w:val="18"/>
          <w:szCs w:val="18"/>
          <w:lang w:eastAsia="ja-JP"/>
        </w:rPr>
        <w:t xml:space="preserve"> </w:t>
      </w:r>
      <w:r w:rsidRPr="00BA5559">
        <w:rPr>
          <w:rFonts w:ascii="Arial" w:hAnsi="Arial" w:cs="Arial"/>
          <w:sz w:val="18"/>
          <w:szCs w:val="18"/>
          <w:lang w:eastAsia="ja-JP"/>
        </w:rPr>
        <w:t xml:space="preserve">Ein weiteres Drittel (32,9 Prozent) musste </w:t>
      </w:r>
      <w:r>
        <w:rPr>
          <w:rFonts w:ascii="Arial" w:hAnsi="Arial" w:cs="Arial"/>
          <w:sz w:val="18"/>
          <w:szCs w:val="18"/>
          <w:lang w:eastAsia="ja-JP"/>
        </w:rPr>
        <w:t>aufgrund</w:t>
      </w:r>
      <w:r w:rsidRPr="00BA5559">
        <w:rPr>
          <w:rFonts w:ascii="Arial" w:hAnsi="Arial" w:cs="Arial"/>
          <w:sz w:val="18"/>
          <w:szCs w:val="18"/>
          <w:lang w:eastAsia="ja-JP"/>
        </w:rPr>
        <w:t xml:space="preserve"> dringender </w:t>
      </w:r>
      <w:r>
        <w:rPr>
          <w:rFonts w:ascii="Arial" w:hAnsi="Arial" w:cs="Arial"/>
          <w:sz w:val="18"/>
          <w:szCs w:val="18"/>
          <w:lang w:eastAsia="ja-JP"/>
        </w:rPr>
        <w:t xml:space="preserve">Ausgaben, beispielsweise für </w:t>
      </w:r>
      <w:r w:rsidRPr="00BA5559">
        <w:rPr>
          <w:rFonts w:ascii="Arial" w:hAnsi="Arial" w:cs="Arial"/>
          <w:sz w:val="18"/>
          <w:szCs w:val="18"/>
          <w:lang w:eastAsia="ja-JP"/>
        </w:rPr>
        <w:t>Krankheit, Reparaturen oder familiäre Veränderungen</w:t>
      </w:r>
      <w:r>
        <w:rPr>
          <w:rFonts w:ascii="Arial" w:hAnsi="Arial" w:cs="Arial"/>
          <w:sz w:val="18"/>
          <w:szCs w:val="18"/>
          <w:lang w:eastAsia="ja-JP"/>
        </w:rPr>
        <w:t>,</w:t>
      </w:r>
      <w:r w:rsidRPr="00BA5559">
        <w:rPr>
          <w:rFonts w:ascii="Arial" w:hAnsi="Arial" w:cs="Arial"/>
          <w:sz w:val="18"/>
          <w:szCs w:val="18"/>
          <w:lang w:eastAsia="ja-JP"/>
        </w:rPr>
        <w:t xml:space="preserve"> tiefer in die Tasche greifen. </w:t>
      </w:r>
      <w:r>
        <w:rPr>
          <w:rFonts w:ascii="Arial" w:hAnsi="Arial" w:cs="Arial"/>
          <w:sz w:val="18"/>
          <w:szCs w:val="18"/>
          <w:lang w:eastAsia="ja-JP"/>
        </w:rPr>
        <w:t>Lediglich</w:t>
      </w:r>
      <w:r w:rsidRPr="00BA5559">
        <w:rPr>
          <w:rFonts w:ascii="Arial" w:hAnsi="Arial" w:cs="Arial"/>
          <w:sz w:val="18"/>
          <w:szCs w:val="18"/>
          <w:lang w:eastAsia="ja-JP"/>
        </w:rPr>
        <w:t xml:space="preserve"> 13,8</w:t>
      </w:r>
      <w:r>
        <w:rPr>
          <w:rFonts w:ascii="Arial" w:hAnsi="Arial" w:cs="Arial"/>
          <w:sz w:val="18"/>
          <w:szCs w:val="18"/>
          <w:lang w:eastAsia="ja-JP"/>
        </w:rPr>
        <w:t> </w:t>
      </w:r>
      <w:r w:rsidRPr="00BA5559">
        <w:rPr>
          <w:rFonts w:ascii="Arial" w:hAnsi="Arial" w:cs="Arial"/>
          <w:sz w:val="18"/>
          <w:szCs w:val="18"/>
          <w:lang w:eastAsia="ja-JP"/>
        </w:rPr>
        <w:t xml:space="preserve">Prozent </w:t>
      </w:r>
      <w:r>
        <w:rPr>
          <w:rFonts w:ascii="Arial" w:hAnsi="Arial" w:cs="Arial"/>
          <w:sz w:val="18"/>
          <w:szCs w:val="18"/>
          <w:lang w:eastAsia="ja-JP"/>
        </w:rPr>
        <w:t>der Befragten sagten</w:t>
      </w:r>
      <w:r w:rsidRPr="00BA5559">
        <w:rPr>
          <w:rFonts w:ascii="Arial" w:hAnsi="Arial" w:cs="Arial"/>
          <w:sz w:val="18"/>
          <w:szCs w:val="18"/>
          <w:lang w:eastAsia="ja-JP"/>
        </w:rPr>
        <w:t xml:space="preserve">, </w:t>
      </w:r>
      <w:r>
        <w:rPr>
          <w:rFonts w:ascii="Arial" w:hAnsi="Arial" w:cs="Arial"/>
          <w:sz w:val="18"/>
          <w:szCs w:val="18"/>
          <w:lang w:eastAsia="ja-JP"/>
        </w:rPr>
        <w:t xml:space="preserve">sie hätten </w:t>
      </w:r>
      <w:r w:rsidRPr="00BA5559">
        <w:rPr>
          <w:rFonts w:ascii="Arial" w:hAnsi="Arial" w:cs="Arial"/>
          <w:sz w:val="18"/>
          <w:szCs w:val="18"/>
          <w:lang w:eastAsia="ja-JP"/>
        </w:rPr>
        <w:t>unbewusst mehr ausgegeben</w:t>
      </w:r>
      <w:r>
        <w:rPr>
          <w:rFonts w:ascii="Arial" w:hAnsi="Arial" w:cs="Arial"/>
          <w:sz w:val="18"/>
          <w:szCs w:val="18"/>
          <w:lang w:eastAsia="ja-JP"/>
        </w:rPr>
        <w:t>.</w:t>
      </w:r>
    </w:p>
    <w:p w14:paraId="1208BF57" w14:textId="77777777" w:rsidR="001C2D1F" w:rsidRPr="00BA5559" w:rsidRDefault="001C2D1F" w:rsidP="001C2D1F">
      <w:pPr>
        <w:spacing w:line="360" w:lineRule="auto"/>
        <w:rPr>
          <w:rFonts w:ascii="Arial" w:hAnsi="Arial" w:cs="Arial"/>
          <w:sz w:val="18"/>
          <w:szCs w:val="18"/>
          <w:lang w:eastAsia="ja-JP"/>
        </w:rPr>
      </w:pPr>
    </w:p>
    <w:p w14:paraId="74A11E48" w14:textId="77777777" w:rsidR="001C2D1F" w:rsidRDefault="001C2D1F" w:rsidP="001C2D1F">
      <w:pPr>
        <w:spacing w:line="360" w:lineRule="auto"/>
        <w:rPr>
          <w:rFonts w:ascii="Arial" w:hAnsi="Arial" w:cs="Arial"/>
          <w:sz w:val="18"/>
          <w:szCs w:val="18"/>
          <w:lang w:eastAsia="ja-JP"/>
        </w:rPr>
      </w:pPr>
      <w:r w:rsidRPr="00BA5559">
        <w:rPr>
          <w:rFonts w:ascii="Arial" w:hAnsi="Arial" w:cs="Arial"/>
          <w:sz w:val="18"/>
          <w:szCs w:val="18"/>
          <w:lang w:eastAsia="ja-JP"/>
        </w:rPr>
        <w:t xml:space="preserve">Auch die Auswirkungen der Inflation </w:t>
      </w:r>
      <w:r>
        <w:rPr>
          <w:rFonts w:ascii="Arial" w:hAnsi="Arial" w:cs="Arial"/>
          <w:sz w:val="18"/>
          <w:szCs w:val="18"/>
          <w:lang w:eastAsia="ja-JP"/>
        </w:rPr>
        <w:t>waren</w:t>
      </w:r>
      <w:r w:rsidRPr="00BA5559">
        <w:rPr>
          <w:rFonts w:ascii="Arial" w:hAnsi="Arial" w:cs="Arial"/>
          <w:sz w:val="18"/>
          <w:szCs w:val="18"/>
          <w:lang w:eastAsia="ja-JP"/>
        </w:rPr>
        <w:t xml:space="preserve"> für viele weiterhin spürbar: 43,1 Prozent </w:t>
      </w:r>
      <w:r>
        <w:rPr>
          <w:rFonts w:ascii="Arial" w:hAnsi="Arial" w:cs="Arial"/>
          <w:sz w:val="18"/>
          <w:szCs w:val="18"/>
          <w:lang w:eastAsia="ja-JP"/>
        </w:rPr>
        <w:t>haben</w:t>
      </w:r>
      <w:r w:rsidRPr="00BA5559">
        <w:rPr>
          <w:rFonts w:ascii="Arial" w:hAnsi="Arial" w:cs="Arial"/>
          <w:sz w:val="18"/>
          <w:szCs w:val="18"/>
          <w:lang w:eastAsia="ja-JP"/>
        </w:rPr>
        <w:t xml:space="preserve"> die Effekte der Teuerung nicht ausgleichen </w:t>
      </w:r>
      <w:r>
        <w:rPr>
          <w:rFonts w:ascii="Arial" w:hAnsi="Arial" w:cs="Arial"/>
          <w:sz w:val="18"/>
          <w:szCs w:val="18"/>
          <w:lang w:eastAsia="ja-JP"/>
        </w:rPr>
        <w:t>können</w:t>
      </w:r>
      <w:r w:rsidRPr="00BA5559">
        <w:rPr>
          <w:rFonts w:ascii="Arial" w:hAnsi="Arial" w:cs="Arial"/>
          <w:sz w:val="18"/>
          <w:szCs w:val="18"/>
          <w:lang w:eastAsia="ja-JP"/>
        </w:rPr>
        <w:t xml:space="preserve">. </w:t>
      </w:r>
      <w:r>
        <w:rPr>
          <w:rFonts w:ascii="Arial" w:hAnsi="Arial" w:cs="Arial"/>
          <w:sz w:val="18"/>
          <w:szCs w:val="18"/>
          <w:lang w:eastAsia="ja-JP"/>
        </w:rPr>
        <w:t>Im Vergleich zum Vorjahr (</w:t>
      </w:r>
      <w:r w:rsidRPr="00BA5559">
        <w:rPr>
          <w:rFonts w:ascii="Arial" w:hAnsi="Arial" w:cs="Arial"/>
          <w:sz w:val="18"/>
          <w:szCs w:val="18"/>
          <w:lang w:eastAsia="ja-JP"/>
        </w:rPr>
        <w:t>48,7 Prozent</w:t>
      </w:r>
      <w:r>
        <w:rPr>
          <w:rFonts w:ascii="Arial" w:hAnsi="Arial" w:cs="Arial"/>
          <w:sz w:val="18"/>
          <w:szCs w:val="18"/>
          <w:lang w:eastAsia="ja-JP"/>
        </w:rPr>
        <w:t xml:space="preserve">) ist dies </w:t>
      </w:r>
      <w:r w:rsidRPr="00BA5559">
        <w:rPr>
          <w:rFonts w:ascii="Arial" w:hAnsi="Arial" w:cs="Arial"/>
          <w:sz w:val="18"/>
          <w:szCs w:val="18"/>
          <w:lang w:eastAsia="ja-JP"/>
        </w:rPr>
        <w:t>allerdings ein Rückgang um mehr als 5 Prozentpunkte.</w:t>
      </w:r>
    </w:p>
    <w:p w14:paraId="64139A67" w14:textId="77777777" w:rsidR="001C2D1F" w:rsidRDefault="001C2D1F" w:rsidP="001C2D1F">
      <w:pPr>
        <w:spacing w:line="360" w:lineRule="auto"/>
        <w:rPr>
          <w:rFonts w:ascii="Arial" w:hAnsi="Arial" w:cs="Arial"/>
          <w:sz w:val="18"/>
          <w:szCs w:val="18"/>
          <w:lang w:eastAsia="ja-JP"/>
        </w:rPr>
      </w:pPr>
    </w:p>
    <w:p w14:paraId="5F1750FC" w14:textId="77777777" w:rsidR="001C2D1F" w:rsidRPr="00BA5559" w:rsidRDefault="001C2D1F" w:rsidP="001C2D1F">
      <w:pPr>
        <w:spacing w:line="360" w:lineRule="auto"/>
        <w:rPr>
          <w:rFonts w:ascii="Arial" w:hAnsi="Arial" w:cs="Arial"/>
          <w:sz w:val="18"/>
          <w:szCs w:val="18"/>
          <w:lang w:eastAsia="ja-JP"/>
        </w:rPr>
      </w:pPr>
      <w:r w:rsidRPr="00281ED2">
        <w:rPr>
          <w:rFonts w:ascii="Arial" w:hAnsi="Arial" w:cs="Arial"/>
          <w:sz w:val="18"/>
          <w:szCs w:val="18"/>
          <w:lang w:eastAsia="ja-JP"/>
        </w:rPr>
        <w:lastRenderedPageBreak/>
        <w:t xml:space="preserve">Bemerkenswert ist </w:t>
      </w:r>
      <w:r>
        <w:rPr>
          <w:rFonts w:ascii="Arial" w:hAnsi="Arial" w:cs="Arial"/>
          <w:sz w:val="18"/>
          <w:szCs w:val="18"/>
          <w:lang w:eastAsia="ja-JP"/>
        </w:rPr>
        <w:t>jedoch</w:t>
      </w:r>
      <w:r w:rsidRPr="00281ED2">
        <w:rPr>
          <w:rFonts w:ascii="Arial" w:hAnsi="Arial" w:cs="Arial"/>
          <w:sz w:val="18"/>
          <w:szCs w:val="18"/>
          <w:lang w:eastAsia="ja-JP"/>
        </w:rPr>
        <w:t xml:space="preserve"> eine andere Entwicklung: Immer mehr Menschen gestehen sich ein, mehr ausgegeben zu haben, als sie sich </w:t>
      </w:r>
      <w:r>
        <w:rPr>
          <w:rFonts w:ascii="Arial" w:hAnsi="Arial" w:cs="Arial"/>
          <w:sz w:val="18"/>
          <w:szCs w:val="18"/>
          <w:lang w:eastAsia="ja-JP"/>
        </w:rPr>
        <w:t xml:space="preserve">hätten </w:t>
      </w:r>
      <w:r w:rsidRPr="00281ED2">
        <w:rPr>
          <w:rFonts w:ascii="Arial" w:hAnsi="Arial" w:cs="Arial"/>
          <w:sz w:val="18"/>
          <w:szCs w:val="18"/>
          <w:lang w:eastAsia="ja-JP"/>
        </w:rPr>
        <w:t xml:space="preserve">leisten </w:t>
      </w:r>
      <w:r>
        <w:rPr>
          <w:rFonts w:ascii="Arial" w:hAnsi="Arial" w:cs="Arial"/>
          <w:sz w:val="18"/>
          <w:szCs w:val="18"/>
          <w:lang w:eastAsia="ja-JP"/>
        </w:rPr>
        <w:t>können</w:t>
      </w:r>
      <w:r w:rsidRPr="00281ED2">
        <w:rPr>
          <w:rFonts w:ascii="Arial" w:hAnsi="Arial" w:cs="Arial"/>
          <w:sz w:val="18"/>
          <w:szCs w:val="18"/>
          <w:lang w:eastAsia="ja-JP"/>
        </w:rPr>
        <w:t xml:space="preserve">. </w:t>
      </w:r>
      <w:r>
        <w:rPr>
          <w:rFonts w:ascii="Arial" w:hAnsi="Arial" w:cs="Arial"/>
          <w:sz w:val="18"/>
          <w:szCs w:val="18"/>
          <w:lang w:eastAsia="ja-JP"/>
        </w:rPr>
        <w:t xml:space="preserve">Lag </w:t>
      </w:r>
      <w:r w:rsidRPr="00281ED2">
        <w:rPr>
          <w:rFonts w:ascii="Arial" w:hAnsi="Arial" w:cs="Arial"/>
          <w:sz w:val="18"/>
          <w:szCs w:val="18"/>
          <w:lang w:eastAsia="ja-JP"/>
        </w:rPr>
        <w:t>dieser Anteil 2024 noch bei 7,7 Prozent</w:t>
      </w:r>
      <w:r>
        <w:rPr>
          <w:rFonts w:ascii="Arial" w:hAnsi="Arial" w:cs="Arial"/>
          <w:sz w:val="18"/>
          <w:szCs w:val="18"/>
          <w:lang w:eastAsia="ja-JP"/>
        </w:rPr>
        <w:t xml:space="preserve">, so stieg er 2025 um 3,5 Prozentpunkte auf </w:t>
      </w:r>
      <w:r w:rsidRPr="00281ED2">
        <w:rPr>
          <w:rFonts w:ascii="Arial" w:hAnsi="Arial" w:cs="Arial"/>
          <w:sz w:val="18"/>
          <w:szCs w:val="18"/>
          <w:lang w:eastAsia="ja-JP"/>
        </w:rPr>
        <w:t xml:space="preserve">11,2 Prozent </w:t>
      </w:r>
      <w:r>
        <w:rPr>
          <w:rFonts w:ascii="Arial" w:hAnsi="Arial" w:cs="Arial"/>
          <w:sz w:val="18"/>
          <w:szCs w:val="18"/>
          <w:lang w:eastAsia="ja-JP"/>
        </w:rPr>
        <w:t>an.</w:t>
      </w:r>
    </w:p>
    <w:p w14:paraId="1C8ABF25" w14:textId="77777777" w:rsidR="001C2D1F" w:rsidRDefault="001C2D1F" w:rsidP="001C2D1F">
      <w:pPr>
        <w:spacing w:line="360" w:lineRule="auto"/>
        <w:rPr>
          <w:rFonts w:ascii="Arial" w:hAnsi="Arial" w:cs="Arial"/>
          <w:b/>
          <w:bCs/>
          <w:sz w:val="18"/>
          <w:szCs w:val="18"/>
          <w:lang w:eastAsia="ja-JP"/>
        </w:rPr>
      </w:pPr>
    </w:p>
    <w:p w14:paraId="11D3C1FD" w14:textId="77777777" w:rsidR="001C2D1F" w:rsidRDefault="001C2D1F" w:rsidP="001C2D1F">
      <w:pPr>
        <w:spacing w:line="360" w:lineRule="auto"/>
        <w:rPr>
          <w:rFonts w:ascii="MS Gothic" w:eastAsia="MS Gothic" w:hAnsi="MS Gothic" w:cs="MS Gothic"/>
          <w:b/>
          <w:bCs/>
          <w:sz w:val="18"/>
          <w:szCs w:val="18"/>
          <w:lang w:eastAsia="ja-JP"/>
        </w:rPr>
      </w:pPr>
      <w:r>
        <w:rPr>
          <w:rFonts w:ascii="Arial" w:hAnsi="Arial" w:cs="Arial"/>
          <w:b/>
          <w:bCs/>
          <w:sz w:val="18"/>
          <w:szCs w:val="18"/>
          <w:lang w:eastAsia="ja-JP"/>
        </w:rPr>
        <w:t xml:space="preserve">Die </w:t>
      </w:r>
      <w:r w:rsidRPr="00BA5559">
        <w:rPr>
          <w:rFonts w:ascii="Arial" w:hAnsi="Arial" w:cs="Arial"/>
          <w:b/>
          <w:bCs/>
          <w:sz w:val="18"/>
          <w:szCs w:val="18"/>
          <w:lang w:eastAsia="ja-JP"/>
        </w:rPr>
        <w:t xml:space="preserve">Inflation bleibt </w:t>
      </w:r>
      <w:r>
        <w:rPr>
          <w:rFonts w:ascii="Arial" w:hAnsi="Arial" w:cs="Arial"/>
          <w:b/>
          <w:bCs/>
          <w:sz w:val="18"/>
          <w:szCs w:val="18"/>
          <w:lang w:eastAsia="ja-JP"/>
        </w:rPr>
        <w:t xml:space="preserve">ein </w:t>
      </w:r>
      <w:r w:rsidRPr="00BA5559">
        <w:rPr>
          <w:rFonts w:ascii="Arial" w:hAnsi="Arial" w:cs="Arial"/>
          <w:b/>
          <w:bCs/>
          <w:sz w:val="18"/>
          <w:szCs w:val="18"/>
          <w:lang w:eastAsia="ja-JP"/>
        </w:rPr>
        <w:t xml:space="preserve">Thema, </w:t>
      </w:r>
      <w:r>
        <w:rPr>
          <w:rFonts w:ascii="Arial" w:hAnsi="Arial" w:cs="Arial"/>
          <w:b/>
          <w:bCs/>
          <w:sz w:val="18"/>
          <w:szCs w:val="18"/>
          <w:lang w:eastAsia="ja-JP"/>
        </w:rPr>
        <w:t xml:space="preserve">der </w:t>
      </w:r>
      <w:r w:rsidRPr="00BA5559">
        <w:rPr>
          <w:rFonts w:ascii="Arial" w:hAnsi="Arial" w:cs="Arial"/>
          <w:b/>
          <w:bCs/>
          <w:sz w:val="18"/>
          <w:szCs w:val="18"/>
          <w:lang w:eastAsia="ja-JP"/>
        </w:rPr>
        <w:t xml:space="preserve">Pessimismus </w:t>
      </w:r>
      <w:r>
        <w:rPr>
          <w:rFonts w:ascii="Arial" w:hAnsi="Arial" w:cs="Arial"/>
          <w:b/>
          <w:bCs/>
          <w:sz w:val="18"/>
          <w:szCs w:val="18"/>
          <w:lang w:eastAsia="ja-JP"/>
        </w:rPr>
        <w:t>der Deutschen wächst</w:t>
      </w:r>
    </w:p>
    <w:p w14:paraId="03C5CEB2" w14:textId="77777777" w:rsidR="001C2D1F" w:rsidRPr="00BA5559" w:rsidRDefault="001C2D1F" w:rsidP="001C2D1F">
      <w:pPr>
        <w:spacing w:line="360" w:lineRule="auto"/>
        <w:rPr>
          <w:rFonts w:ascii="Arial" w:hAnsi="Arial" w:cs="Arial"/>
          <w:sz w:val="18"/>
          <w:szCs w:val="18"/>
          <w:lang w:eastAsia="ja-JP"/>
        </w:rPr>
      </w:pPr>
      <w:r>
        <w:rPr>
          <w:rFonts w:ascii="Arial" w:hAnsi="Arial" w:cs="Arial"/>
          <w:sz w:val="18"/>
          <w:szCs w:val="18"/>
          <w:lang w:eastAsia="ja-JP"/>
        </w:rPr>
        <w:t xml:space="preserve">Auch 2025 hat sich die Inflation </w:t>
      </w:r>
      <w:r w:rsidRPr="00BA5559">
        <w:rPr>
          <w:rFonts w:ascii="Arial" w:hAnsi="Arial" w:cs="Arial"/>
          <w:sz w:val="18"/>
          <w:szCs w:val="18"/>
          <w:lang w:eastAsia="ja-JP"/>
        </w:rPr>
        <w:t xml:space="preserve">wie ein roter Faden durch die Finanzplanung vieler </w:t>
      </w:r>
      <w:r>
        <w:rPr>
          <w:rFonts w:ascii="Arial" w:hAnsi="Arial" w:cs="Arial"/>
          <w:sz w:val="18"/>
          <w:szCs w:val="18"/>
          <w:lang w:eastAsia="ja-JP"/>
        </w:rPr>
        <w:t>gezogen</w:t>
      </w:r>
      <w:r w:rsidRPr="00BA5559">
        <w:rPr>
          <w:rFonts w:ascii="Arial" w:hAnsi="Arial" w:cs="Arial"/>
          <w:sz w:val="18"/>
          <w:szCs w:val="18"/>
          <w:lang w:eastAsia="ja-JP"/>
        </w:rPr>
        <w:t>. Und der Blick nach vorn stimmt nicht gerade optimistisch</w:t>
      </w:r>
      <w:r>
        <w:rPr>
          <w:rFonts w:ascii="Arial" w:hAnsi="Arial" w:cs="Arial"/>
          <w:sz w:val="18"/>
          <w:szCs w:val="18"/>
          <w:lang w:eastAsia="ja-JP"/>
        </w:rPr>
        <w:t>.</w:t>
      </w:r>
      <w:r w:rsidRPr="00BA5559">
        <w:rPr>
          <w:rFonts w:ascii="Arial" w:hAnsi="Arial" w:cs="Arial"/>
          <w:sz w:val="18"/>
          <w:szCs w:val="18"/>
          <w:lang w:eastAsia="ja-JP"/>
        </w:rPr>
        <w:t xml:space="preserve"> Mehr als zwei Drittel der Befragten (67,1 Prozent) rechnen damit, dass die Preise im kommenden Jahr weiter steigen werden – so viele wie noch nie seit Beginn der Befragung.</w:t>
      </w:r>
      <w:r>
        <w:rPr>
          <w:rFonts w:ascii="Arial" w:hAnsi="Arial" w:cs="Arial"/>
          <w:sz w:val="18"/>
          <w:szCs w:val="18"/>
          <w:lang w:eastAsia="ja-JP"/>
        </w:rPr>
        <w:t xml:space="preserve"> </w:t>
      </w:r>
      <w:r w:rsidRPr="00BA5559">
        <w:rPr>
          <w:rFonts w:ascii="Arial" w:hAnsi="Arial" w:cs="Arial"/>
          <w:sz w:val="18"/>
          <w:szCs w:val="18"/>
          <w:lang w:eastAsia="ja-JP"/>
        </w:rPr>
        <w:t>Nur knapp ein Drittel (32,9 Prozent) glaubt an eine Normalisierung</w:t>
      </w:r>
      <w:r>
        <w:rPr>
          <w:rFonts w:ascii="Arial" w:hAnsi="Arial" w:cs="Arial"/>
          <w:sz w:val="18"/>
          <w:szCs w:val="18"/>
          <w:lang w:eastAsia="ja-JP"/>
        </w:rPr>
        <w:t>. Das ist</w:t>
      </w:r>
      <w:r w:rsidRPr="00BA5559">
        <w:rPr>
          <w:rFonts w:ascii="Arial" w:hAnsi="Arial" w:cs="Arial"/>
          <w:sz w:val="18"/>
          <w:szCs w:val="18"/>
          <w:lang w:eastAsia="ja-JP"/>
        </w:rPr>
        <w:t xml:space="preserve"> ein deutlicher Rückgang gegenüber dem Vorjahr (2024: 45,4 </w:t>
      </w:r>
      <w:r>
        <w:rPr>
          <w:rFonts w:ascii="Arial" w:hAnsi="Arial" w:cs="Arial"/>
          <w:sz w:val="18"/>
          <w:szCs w:val="18"/>
          <w:lang w:eastAsia="ja-JP"/>
        </w:rPr>
        <w:t>Prozent</w:t>
      </w:r>
      <w:r w:rsidRPr="00BA5559">
        <w:rPr>
          <w:rFonts w:ascii="Arial" w:hAnsi="Arial" w:cs="Arial"/>
          <w:sz w:val="18"/>
          <w:szCs w:val="18"/>
          <w:lang w:eastAsia="ja-JP"/>
        </w:rPr>
        <w:t>)</w:t>
      </w:r>
      <w:r>
        <w:rPr>
          <w:rFonts w:ascii="Arial" w:hAnsi="Arial" w:cs="Arial"/>
          <w:sz w:val="18"/>
          <w:szCs w:val="18"/>
          <w:lang w:eastAsia="ja-JP"/>
        </w:rPr>
        <w:t xml:space="preserve">, was </w:t>
      </w:r>
      <w:r w:rsidRPr="00BA5559">
        <w:rPr>
          <w:rFonts w:ascii="Arial" w:hAnsi="Arial" w:cs="Arial"/>
          <w:sz w:val="18"/>
          <w:szCs w:val="18"/>
          <w:lang w:eastAsia="ja-JP"/>
        </w:rPr>
        <w:t>spürbare Auswirkungen auf das Konsumverhalten</w:t>
      </w:r>
      <w:r>
        <w:rPr>
          <w:rFonts w:ascii="Arial" w:hAnsi="Arial" w:cs="Arial"/>
          <w:sz w:val="18"/>
          <w:szCs w:val="18"/>
          <w:lang w:eastAsia="ja-JP"/>
        </w:rPr>
        <w:t xml:space="preserve"> hat.</w:t>
      </w:r>
      <w:r w:rsidRPr="00BA5559">
        <w:rPr>
          <w:rFonts w:ascii="Arial" w:hAnsi="Arial" w:cs="Arial"/>
          <w:sz w:val="18"/>
          <w:szCs w:val="18"/>
          <w:lang w:eastAsia="ja-JP"/>
        </w:rPr>
        <w:t xml:space="preserve"> Viele verschieben größere Anschaffungen, möchten sich nicht verschulden und </w:t>
      </w:r>
      <w:r>
        <w:rPr>
          <w:rFonts w:ascii="Arial" w:hAnsi="Arial" w:cs="Arial"/>
          <w:sz w:val="18"/>
          <w:szCs w:val="18"/>
          <w:lang w:eastAsia="ja-JP"/>
        </w:rPr>
        <w:t>legen</w:t>
      </w:r>
      <w:r w:rsidRPr="00BA5559">
        <w:rPr>
          <w:rFonts w:ascii="Arial" w:hAnsi="Arial" w:cs="Arial"/>
          <w:sz w:val="18"/>
          <w:szCs w:val="18"/>
          <w:lang w:eastAsia="ja-JP"/>
        </w:rPr>
        <w:t xml:space="preserve"> stattdessen Rücklagen</w:t>
      </w:r>
      <w:r>
        <w:rPr>
          <w:rFonts w:ascii="Arial" w:hAnsi="Arial" w:cs="Arial"/>
          <w:sz w:val="18"/>
          <w:szCs w:val="18"/>
          <w:lang w:eastAsia="ja-JP"/>
        </w:rPr>
        <w:t xml:space="preserve"> an</w:t>
      </w:r>
      <w:r w:rsidRPr="00BA5559">
        <w:rPr>
          <w:rFonts w:ascii="Arial" w:hAnsi="Arial" w:cs="Arial"/>
          <w:sz w:val="18"/>
          <w:szCs w:val="18"/>
          <w:lang w:eastAsia="ja-JP"/>
        </w:rPr>
        <w:t>.</w:t>
      </w:r>
      <w:r>
        <w:rPr>
          <w:rFonts w:ascii="Arial" w:hAnsi="Arial" w:cs="Arial"/>
          <w:sz w:val="18"/>
          <w:szCs w:val="18"/>
          <w:lang w:eastAsia="ja-JP"/>
        </w:rPr>
        <w:t xml:space="preserve"> </w:t>
      </w:r>
    </w:p>
    <w:p w14:paraId="56973697" w14:textId="77777777" w:rsidR="001C2D1F" w:rsidRDefault="001C2D1F" w:rsidP="001C2D1F">
      <w:pPr>
        <w:spacing w:line="360" w:lineRule="auto"/>
        <w:rPr>
          <w:rFonts w:ascii="Arial" w:hAnsi="Arial" w:cs="Arial"/>
          <w:sz w:val="18"/>
          <w:szCs w:val="18"/>
          <w:lang w:eastAsia="ja-JP"/>
        </w:rPr>
      </w:pPr>
    </w:p>
    <w:p w14:paraId="021613FA" w14:textId="77777777" w:rsidR="001C2D1F" w:rsidRPr="00BA5559" w:rsidRDefault="001C2D1F" w:rsidP="001C2D1F">
      <w:pPr>
        <w:spacing w:line="360" w:lineRule="auto"/>
        <w:rPr>
          <w:rFonts w:ascii="MS Gothic" w:eastAsia="MS Gothic" w:hAnsi="MS Gothic" w:cs="MS Gothic"/>
          <w:b/>
          <w:bCs/>
          <w:sz w:val="18"/>
          <w:szCs w:val="18"/>
          <w:lang w:eastAsia="ja-JP"/>
        </w:rPr>
      </w:pPr>
      <w:r w:rsidRPr="00BA5559">
        <w:rPr>
          <w:rFonts w:ascii="Arial" w:hAnsi="Arial" w:cs="Arial"/>
          <w:b/>
          <w:bCs/>
          <w:sz w:val="18"/>
          <w:szCs w:val="18"/>
          <w:lang w:eastAsia="ja-JP"/>
        </w:rPr>
        <w:t>Bewusster Konsum statt Verzicht</w:t>
      </w:r>
      <w:r w:rsidRPr="00BA5559">
        <w:rPr>
          <w:rFonts w:ascii="MS Gothic" w:eastAsia="MS Gothic" w:hAnsi="MS Gothic" w:cs="MS Gothic" w:hint="eastAsia"/>
          <w:b/>
          <w:bCs/>
          <w:sz w:val="18"/>
          <w:szCs w:val="18"/>
          <w:lang w:eastAsia="ja-JP"/>
        </w:rPr>
        <w:t> </w:t>
      </w:r>
    </w:p>
    <w:p w14:paraId="24091E7C" w14:textId="77777777" w:rsidR="001C2D1F" w:rsidRDefault="001C2D1F" w:rsidP="001C2D1F">
      <w:pPr>
        <w:spacing w:line="360" w:lineRule="auto"/>
        <w:rPr>
          <w:rFonts w:ascii="Arial" w:hAnsi="Arial" w:cs="Arial"/>
          <w:sz w:val="18"/>
          <w:szCs w:val="18"/>
          <w:lang w:eastAsia="ja-JP"/>
        </w:rPr>
      </w:pPr>
      <w:r w:rsidRPr="00BA5559">
        <w:rPr>
          <w:rFonts w:ascii="Arial" w:hAnsi="Arial" w:cs="Arial"/>
          <w:sz w:val="18"/>
          <w:szCs w:val="18"/>
          <w:lang w:eastAsia="ja-JP"/>
        </w:rPr>
        <w:t xml:space="preserve">Was erstaunen dürfte: Die Preissteigerungen führten nicht überall zu Frust, sondern zu </w:t>
      </w:r>
      <w:r>
        <w:rPr>
          <w:rFonts w:ascii="Arial" w:hAnsi="Arial" w:cs="Arial"/>
          <w:sz w:val="18"/>
          <w:szCs w:val="18"/>
          <w:lang w:eastAsia="ja-JP"/>
        </w:rPr>
        <w:t xml:space="preserve">einem </w:t>
      </w:r>
      <w:r w:rsidRPr="00BA5559">
        <w:rPr>
          <w:rFonts w:ascii="Arial" w:hAnsi="Arial" w:cs="Arial"/>
          <w:sz w:val="18"/>
          <w:szCs w:val="18"/>
          <w:lang w:eastAsia="ja-JP"/>
        </w:rPr>
        <w:t>bewusstere</w:t>
      </w:r>
      <w:r>
        <w:rPr>
          <w:rFonts w:ascii="Arial" w:hAnsi="Arial" w:cs="Arial"/>
          <w:sz w:val="18"/>
          <w:szCs w:val="18"/>
          <w:lang w:eastAsia="ja-JP"/>
        </w:rPr>
        <w:t>n</w:t>
      </w:r>
      <w:r w:rsidRPr="00BA5559">
        <w:rPr>
          <w:rFonts w:ascii="Arial" w:hAnsi="Arial" w:cs="Arial"/>
          <w:sz w:val="18"/>
          <w:szCs w:val="18"/>
          <w:lang w:eastAsia="ja-JP"/>
        </w:rPr>
        <w:t xml:space="preserve"> Umgang mit Geld. Knapp </w:t>
      </w:r>
      <w:r>
        <w:rPr>
          <w:rFonts w:ascii="Arial" w:hAnsi="Arial" w:cs="Arial"/>
          <w:sz w:val="18"/>
          <w:szCs w:val="18"/>
          <w:lang w:eastAsia="ja-JP"/>
        </w:rPr>
        <w:t>30</w:t>
      </w:r>
      <w:r w:rsidRPr="00BA5559">
        <w:rPr>
          <w:rFonts w:ascii="Arial" w:hAnsi="Arial" w:cs="Arial"/>
          <w:sz w:val="18"/>
          <w:szCs w:val="18"/>
          <w:lang w:eastAsia="ja-JP"/>
        </w:rPr>
        <w:t xml:space="preserve"> Prozent der Befragten gönnten sich 2025 gezielt weniger, um mehr sparen zu können</w:t>
      </w:r>
      <w:r>
        <w:rPr>
          <w:rFonts w:ascii="Arial" w:hAnsi="Arial" w:cs="Arial"/>
          <w:sz w:val="18"/>
          <w:szCs w:val="18"/>
          <w:lang w:eastAsia="ja-JP"/>
        </w:rPr>
        <w:t>. Das ist</w:t>
      </w:r>
      <w:r w:rsidRPr="00BA5559">
        <w:rPr>
          <w:rFonts w:ascii="Arial" w:hAnsi="Arial" w:cs="Arial"/>
          <w:sz w:val="18"/>
          <w:szCs w:val="18"/>
          <w:lang w:eastAsia="ja-JP"/>
        </w:rPr>
        <w:t xml:space="preserve"> ein </w:t>
      </w:r>
      <w:r>
        <w:rPr>
          <w:rFonts w:ascii="Arial" w:hAnsi="Arial" w:cs="Arial"/>
          <w:sz w:val="18"/>
          <w:szCs w:val="18"/>
          <w:lang w:eastAsia="ja-JP"/>
        </w:rPr>
        <w:t>Anstieg von 3,4 Prozentpunkten im Vergleich zum Vorjahr</w:t>
      </w:r>
      <w:r w:rsidRPr="00BA5559">
        <w:rPr>
          <w:rFonts w:ascii="Arial" w:hAnsi="Arial" w:cs="Arial"/>
          <w:sz w:val="18"/>
          <w:szCs w:val="18"/>
          <w:lang w:eastAsia="ja-JP"/>
        </w:rPr>
        <w:t xml:space="preserve"> (2024: 2</w:t>
      </w:r>
      <w:r>
        <w:rPr>
          <w:rFonts w:ascii="Arial" w:hAnsi="Arial" w:cs="Arial"/>
          <w:sz w:val="18"/>
          <w:szCs w:val="18"/>
          <w:lang w:eastAsia="ja-JP"/>
        </w:rPr>
        <w:t xml:space="preserve">6,2 </w:t>
      </w:r>
      <w:r w:rsidRPr="00BA5559">
        <w:rPr>
          <w:rFonts w:ascii="Arial" w:hAnsi="Arial" w:cs="Arial"/>
          <w:sz w:val="18"/>
          <w:szCs w:val="18"/>
          <w:lang w:eastAsia="ja-JP"/>
        </w:rPr>
        <w:t>Prozent</w:t>
      </w:r>
      <w:r>
        <w:rPr>
          <w:rFonts w:ascii="Arial" w:hAnsi="Arial" w:cs="Arial"/>
          <w:sz w:val="18"/>
          <w:szCs w:val="18"/>
          <w:lang w:eastAsia="ja-JP"/>
        </w:rPr>
        <w:t xml:space="preserve">, </w:t>
      </w:r>
      <w:r w:rsidRPr="00BA5559">
        <w:rPr>
          <w:rFonts w:ascii="Arial" w:hAnsi="Arial" w:cs="Arial"/>
          <w:sz w:val="18"/>
          <w:szCs w:val="18"/>
          <w:lang w:eastAsia="ja-JP"/>
        </w:rPr>
        <w:t xml:space="preserve">2025: </w:t>
      </w:r>
      <w:r>
        <w:rPr>
          <w:rFonts w:ascii="Arial" w:hAnsi="Arial" w:cs="Arial"/>
          <w:sz w:val="18"/>
          <w:szCs w:val="18"/>
          <w:lang w:eastAsia="ja-JP"/>
        </w:rPr>
        <w:t>29,6 </w:t>
      </w:r>
      <w:r w:rsidRPr="00BA5559">
        <w:rPr>
          <w:rFonts w:ascii="Arial" w:hAnsi="Arial" w:cs="Arial"/>
          <w:sz w:val="18"/>
          <w:szCs w:val="18"/>
          <w:lang w:eastAsia="ja-JP"/>
        </w:rPr>
        <w:t xml:space="preserve">Prozent). Der Trend zur finanziellen Disziplin zeigt sich </w:t>
      </w:r>
      <w:r>
        <w:rPr>
          <w:rFonts w:ascii="Arial" w:hAnsi="Arial" w:cs="Arial"/>
          <w:sz w:val="18"/>
          <w:szCs w:val="18"/>
          <w:lang w:eastAsia="ja-JP"/>
        </w:rPr>
        <w:t xml:space="preserve">aber </w:t>
      </w:r>
      <w:r w:rsidRPr="00BA5559">
        <w:rPr>
          <w:rFonts w:ascii="Arial" w:hAnsi="Arial" w:cs="Arial"/>
          <w:sz w:val="18"/>
          <w:szCs w:val="18"/>
          <w:lang w:eastAsia="ja-JP"/>
        </w:rPr>
        <w:t>auch beim Thema Zinsen: 23,5 </w:t>
      </w:r>
      <w:r>
        <w:rPr>
          <w:rFonts w:ascii="Arial" w:hAnsi="Arial" w:cs="Arial"/>
          <w:sz w:val="18"/>
          <w:szCs w:val="18"/>
          <w:lang w:eastAsia="ja-JP"/>
        </w:rPr>
        <w:t>Prozent</w:t>
      </w:r>
      <w:r w:rsidRPr="00BA5559">
        <w:rPr>
          <w:rFonts w:ascii="Arial" w:hAnsi="Arial" w:cs="Arial"/>
          <w:sz w:val="18"/>
          <w:szCs w:val="18"/>
          <w:lang w:eastAsia="ja-JP"/>
        </w:rPr>
        <w:t xml:space="preserve"> der Befragten konnten 2025 ihr Vermögen durch Tagesgeld, Festgeld oder andere Anlageformen ausbauen</w:t>
      </w:r>
      <w:r>
        <w:rPr>
          <w:rFonts w:ascii="Arial" w:hAnsi="Arial" w:cs="Arial"/>
          <w:sz w:val="18"/>
          <w:szCs w:val="18"/>
          <w:lang w:eastAsia="ja-JP"/>
        </w:rPr>
        <w:t xml:space="preserve">. </w:t>
      </w:r>
      <w:r w:rsidRPr="00BA5559">
        <w:rPr>
          <w:rFonts w:ascii="Arial" w:hAnsi="Arial" w:cs="Arial"/>
          <w:sz w:val="18"/>
          <w:szCs w:val="18"/>
          <w:lang w:eastAsia="ja-JP"/>
        </w:rPr>
        <w:t xml:space="preserve">2024 </w:t>
      </w:r>
      <w:r>
        <w:rPr>
          <w:rFonts w:ascii="Arial" w:hAnsi="Arial" w:cs="Arial"/>
          <w:sz w:val="18"/>
          <w:szCs w:val="18"/>
          <w:lang w:eastAsia="ja-JP"/>
        </w:rPr>
        <w:t xml:space="preserve">waren es </w:t>
      </w:r>
      <w:r w:rsidRPr="00BA5559">
        <w:rPr>
          <w:rFonts w:ascii="Arial" w:hAnsi="Arial" w:cs="Arial"/>
          <w:sz w:val="18"/>
          <w:szCs w:val="18"/>
          <w:lang w:eastAsia="ja-JP"/>
        </w:rPr>
        <w:t>noch 19,5 </w:t>
      </w:r>
      <w:r>
        <w:rPr>
          <w:rFonts w:ascii="Arial" w:hAnsi="Arial" w:cs="Arial"/>
          <w:sz w:val="18"/>
          <w:szCs w:val="18"/>
          <w:lang w:eastAsia="ja-JP"/>
        </w:rPr>
        <w:t xml:space="preserve">Prozent, </w:t>
      </w:r>
      <w:r w:rsidRPr="00BA5559">
        <w:rPr>
          <w:rFonts w:ascii="Arial" w:hAnsi="Arial" w:cs="Arial"/>
          <w:sz w:val="18"/>
          <w:szCs w:val="18"/>
          <w:lang w:eastAsia="ja-JP"/>
        </w:rPr>
        <w:t>ein klares Plus um 4 Prozentpunkte.</w:t>
      </w:r>
    </w:p>
    <w:p w14:paraId="0CE34B87" w14:textId="77777777" w:rsidR="001C2D1F" w:rsidRPr="00BA5559" w:rsidRDefault="001C2D1F" w:rsidP="001C2D1F">
      <w:pPr>
        <w:spacing w:line="360" w:lineRule="auto"/>
        <w:rPr>
          <w:rFonts w:ascii="Arial" w:hAnsi="Arial" w:cs="Arial"/>
          <w:sz w:val="18"/>
          <w:szCs w:val="18"/>
          <w:lang w:eastAsia="ja-JP"/>
        </w:rPr>
      </w:pPr>
    </w:p>
    <w:p w14:paraId="06D5214F" w14:textId="77777777" w:rsidR="001C2D1F" w:rsidRPr="00BA5559" w:rsidRDefault="001C2D1F" w:rsidP="001C2D1F">
      <w:pPr>
        <w:spacing w:line="360" w:lineRule="auto"/>
        <w:rPr>
          <w:rFonts w:ascii="Arial" w:hAnsi="Arial" w:cs="Arial"/>
          <w:b/>
          <w:bCs/>
          <w:sz w:val="18"/>
          <w:szCs w:val="18"/>
          <w:lang w:eastAsia="ja-JP"/>
        </w:rPr>
      </w:pPr>
      <w:r>
        <w:rPr>
          <w:rFonts w:ascii="Arial" w:hAnsi="Arial" w:cs="Arial"/>
          <w:b/>
          <w:bCs/>
          <w:sz w:val="18"/>
          <w:szCs w:val="18"/>
          <w:lang w:eastAsia="ja-JP"/>
        </w:rPr>
        <w:t xml:space="preserve">Das </w:t>
      </w:r>
      <w:r w:rsidRPr="00BA5559">
        <w:rPr>
          <w:rFonts w:ascii="Arial" w:hAnsi="Arial" w:cs="Arial"/>
          <w:b/>
          <w:bCs/>
          <w:sz w:val="18"/>
          <w:szCs w:val="18"/>
          <w:lang w:eastAsia="ja-JP"/>
        </w:rPr>
        <w:t>Sparverhalten über die Jahre</w:t>
      </w:r>
    </w:p>
    <w:p w14:paraId="396B8E12" w14:textId="77777777" w:rsidR="001C2D1F" w:rsidRPr="003E1F9E" w:rsidRDefault="001C2D1F" w:rsidP="001C2D1F">
      <w:pPr>
        <w:spacing w:line="360" w:lineRule="auto"/>
        <w:rPr>
          <w:rFonts w:ascii="Arial" w:hAnsi="Arial" w:cs="Arial"/>
          <w:sz w:val="18"/>
          <w:szCs w:val="18"/>
          <w:lang w:eastAsia="ja-JP"/>
        </w:rPr>
      </w:pPr>
      <w:r w:rsidRPr="00BA5559">
        <w:rPr>
          <w:rFonts w:ascii="Arial" w:hAnsi="Arial" w:cs="Arial"/>
          <w:sz w:val="18"/>
          <w:szCs w:val="18"/>
          <w:lang w:eastAsia="ja-JP"/>
        </w:rPr>
        <w:t xml:space="preserve">Ein Blick auf die </w:t>
      </w:r>
      <w:r>
        <w:rPr>
          <w:rFonts w:ascii="Arial" w:hAnsi="Arial" w:cs="Arial"/>
          <w:sz w:val="18"/>
          <w:szCs w:val="18"/>
          <w:lang w:eastAsia="ja-JP"/>
        </w:rPr>
        <w:t>letzten</w:t>
      </w:r>
      <w:r w:rsidRPr="00BA5559">
        <w:rPr>
          <w:rFonts w:ascii="Arial" w:hAnsi="Arial" w:cs="Arial"/>
          <w:sz w:val="18"/>
          <w:szCs w:val="18"/>
          <w:lang w:eastAsia="ja-JP"/>
        </w:rPr>
        <w:t xml:space="preserve"> drei Jahre </w:t>
      </w:r>
      <w:r>
        <w:rPr>
          <w:rFonts w:ascii="Arial" w:hAnsi="Arial" w:cs="Arial"/>
          <w:sz w:val="18"/>
          <w:szCs w:val="18"/>
          <w:lang w:eastAsia="ja-JP"/>
        </w:rPr>
        <w:t>verdeutlicht</w:t>
      </w:r>
      <w:r w:rsidRPr="00BA5559">
        <w:rPr>
          <w:rFonts w:ascii="Arial" w:hAnsi="Arial" w:cs="Arial"/>
          <w:sz w:val="18"/>
          <w:szCs w:val="18"/>
          <w:lang w:eastAsia="ja-JP"/>
        </w:rPr>
        <w:t>, dass der Wunsch zu sparen keine Momentaufnahme ist</w:t>
      </w:r>
      <w:r>
        <w:rPr>
          <w:rFonts w:ascii="Arial" w:hAnsi="Arial" w:cs="Arial"/>
          <w:sz w:val="18"/>
          <w:szCs w:val="18"/>
          <w:lang w:eastAsia="ja-JP"/>
        </w:rPr>
        <w:t>. Er ist b</w:t>
      </w:r>
      <w:r w:rsidRPr="00BA5559">
        <w:rPr>
          <w:rFonts w:ascii="Arial" w:hAnsi="Arial" w:cs="Arial"/>
          <w:sz w:val="18"/>
          <w:szCs w:val="18"/>
          <w:lang w:eastAsia="ja-JP"/>
        </w:rPr>
        <w:t xml:space="preserve">emerkenswert konstant geblieben. Zum Jahreswechsel 2024 </w:t>
      </w:r>
      <w:r>
        <w:rPr>
          <w:rFonts w:ascii="Arial" w:hAnsi="Arial" w:cs="Arial"/>
          <w:sz w:val="18"/>
          <w:szCs w:val="18"/>
          <w:lang w:eastAsia="ja-JP"/>
        </w:rPr>
        <w:t>gaben</w:t>
      </w:r>
      <w:r w:rsidRPr="00BA5559">
        <w:rPr>
          <w:rFonts w:ascii="Arial" w:hAnsi="Arial" w:cs="Arial"/>
          <w:sz w:val="18"/>
          <w:szCs w:val="18"/>
          <w:lang w:eastAsia="ja-JP"/>
        </w:rPr>
        <w:t xml:space="preserve"> </w:t>
      </w:r>
      <w:r>
        <w:rPr>
          <w:rFonts w:ascii="Arial" w:hAnsi="Arial" w:cs="Arial"/>
          <w:sz w:val="18"/>
          <w:szCs w:val="18"/>
          <w:lang w:eastAsia="ja-JP"/>
        </w:rPr>
        <w:t>20,3</w:t>
      </w:r>
      <w:r w:rsidRPr="00BA5559">
        <w:rPr>
          <w:rFonts w:ascii="Arial" w:hAnsi="Arial" w:cs="Arial"/>
          <w:sz w:val="18"/>
          <w:szCs w:val="18"/>
          <w:lang w:eastAsia="ja-JP"/>
        </w:rPr>
        <w:t xml:space="preserve"> Prozent</w:t>
      </w:r>
      <w:r>
        <w:rPr>
          <w:rFonts w:ascii="Arial" w:hAnsi="Arial" w:cs="Arial"/>
          <w:sz w:val="18"/>
          <w:szCs w:val="18"/>
          <w:lang w:eastAsia="ja-JP"/>
        </w:rPr>
        <w:t xml:space="preserve"> an</w:t>
      </w:r>
      <w:r w:rsidRPr="00BA5559">
        <w:rPr>
          <w:rFonts w:ascii="Arial" w:hAnsi="Arial" w:cs="Arial"/>
          <w:sz w:val="18"/>
          <w:szCs w:val="18"/>
          <w:lang w:eastAsia="ja-JP"/>
        </w:rPr>
        <w:t xml:space="preserve">, mehr gespart </w:t>
      </w:r>
      <w:r>
        <w:rPr>
          <w:rFonts w:ascii="Arial" w:hAnsi="Arial" w:cs="Arial"/>
          <w:sz w:val="18"/>
          <w:szCs w:val="18"/>
          <w:lang w:eastAsia="ja-JP"/>
        </w:rPr>
        <w:t xml:space="preserve">zu haben </w:t>
      </w:r>
      <w:r w:rsidRPr="00BA5559">
        <w:rPr>
          <w:rFonts w:ascii="Arial" w:hAnsi="Arial" w:cs="Arial"/>
          <w:sz w:val="18"/>
          <w:szCs w:val="18"/>
          <w:lang w:eastAsia="ja-JP"/>
        </w:rPr>
        <w:t xml:space="preserve">als im Vorjahr, und </w:t>
      </w:r>
      <w:r>
        <w:rPr>
          <w:rFonts w:ascii="Arial" w:hAnsi="Arial" w:cs="Arial"/>
          <w:sz w:val="18"/>
          <w:szCs w:val="18"/>
          <w:lang w:eastAsia="ja-JP"/>
        </w:rPr>
        <w:t>27,4</w:t>
      </w:r>
      <w:r w:rsidRPr="00BA5559">
        <w:rPr>
          <w:rFonts w:ascii="Arial" w:hAnsi="Arial" w:cs="Arial"/>
          <w:sz w:val="18"/>
          <w:szCs w:val="18"/>
          <w:lang w:eastAsia="ja-JP"/>
        </w:rPr>
        <w:t xml:space="preserve"> Prozent genauso viel. Ein Jahr später lagen die Werte bei 22,3</w:t>
      </w:r>
      <w:r>
        <w:rPr>
          <w:rFonts w:ascii="Arial" w:hAnsi="Arial" w:cs="Arial"/>
          <w:sz w:val="18"/>
          <w:szCs w:val="18"/>
          <w:lang w:eastAsia="ja-JP"/>
        </w:rPr>
        <w:t> </w:t>
      </w:r>
      <w:r w:rsidRPr="00BA5559">
        <w:rPr>
          <w:rFonts w:ascii="Arial" w:hAnsi="Arial" w:cs="Arial"/>
          <w:sz w:val="18"/>
          <w:szCs w:val="18"/>
          <w:lang w:eastAsia="ja-JP"/>
        </w:rPr>
        <w:t>Prozent und 33,6 Prozent. Und auch</w:t>
      </w:r>
      <w:r>
        <w:rPr>
          <w:rFonts w:ascii="Arial" w:hAnsi="Arial" w:cs="Arial"/>
          <w:sz w:val="18"/>
          <w:szCs w:val="18"/>
          <w:lang w:eastAsia="ja-JP"/>
        </w:rPr>
        <w:t xml:space="preserve"> zum Jahreswechsel</w:t>
      </w:r>
      <w:r w:rsidRPr="00BA5559">
        <w:rPr>
          <w:rFonts w:ascii="Arial" w:hAnsi="Arial" w:cs="Arial"/>
          <w:sz w:val="18"/>
          <w:szCs w:val="18"/>
          <w:lang w:eastAsia="ja-JP"/>
        </w:rPr>
        <w:t xml:space="preserve"> 2025</w:t>
      </w:r>
      <w:r>
        <w:rPr>
          <w:rFonts w:ascii="Arial" w:hAnsi="Arial" w:cs="Arial"/>
          <w:sz w:val="18"/>
          <w:szCs w:val="18"/>
          <w:lang w:eastAsia="ja-JP"/>
        </w:rPr>
        <w:t xml:space="preserve"> </w:t>
      </w:r>
      <w:r w:rsidRPr="00BA5559">
        <w:rPr>
          <w:rFonts w:ascii="Arial" w:hAnsi="Arial" w:cs="Arial"/>
          <w:sz w:val="18"/>
          <w:szCs w:val="18"/>
          <w:lang w:eastAsia="ja-JP"/>
        </w:rPr>
        <w:t xml:space="preserve">hat sich das Bild kaum verändert: 20,4 Prozent konnten </w:t>
      </w:r>
      <w:r>
        <w:rPr>
          <w:rFonts w:ascii="Arial" w:hAnsi="Arial" w:cs="Arial"/>
          <w:sz w:val="18"/>
          <w:szCs w:val="18"/>
          <w:lang w:eastAsia="ja-JP"/>
        </w:rPr>
        <w:t xml:space="preserve">2025 </w:t>
      </w:r>
      <w:r w:rsidRPr="00BA5559">
        <w:rPr>
          <w:rFonts w:ascii="Arial" w:hAnsi="Arial" w:cs="Arial"/>
          <w:sz w:val="18"/>
          <w:szCs w:val="18"/>
          <w:lang w:eastAsia="ja-JP"/>
        </w:rPr>
        <w:t>mehr sparen</w:t>
      </w:r>
      <w:r>
        <w:rPr>
          <w:rFonts w:ascii="Arial" w:hAnsi="Arial" w:cs="Arial"/>
          <w:sz w:val="18"/>
          <w:szCs w:val="18"/>
          <w:lang w:eastAsia="ja-JP"/>
        </w:rPr>
        <w:t xml:space="preserve"> </w:t>
      </w:r>
      <w:r w:rsidRPr="00BA5559">
        <w:rPr>
          <w:rFonts w:ascii="Arial" w:hAnsi="Arial" w:cs="Arial"/>
          <w:sz w:val="18"/>
          <w:szCs w:val="18"/>
          <w:lang w:eastAsia="ja-JP"/>
        </w:rPr>
        <w:t>und 35,8 Prozent genauso viel.</w:t>
      </w:r>
      <w:r>
        <w:rPr>
          <w:rFonts w:ascii="Arial" w:hAnsi="Arial" w:cs="Arial"/>
          <w:sz w:val="18"/>
          <w:szCs w:val="18"/>
          <w:lang w:eastAsia="ja-JP"/>
        </w:rPr>
        <w:t xml:space="preserve"> Zusammengefasst</w:t>
      </w:r>
      <w:r w:rsidRPr="005E421B">
        <w:rPr>
          <w:rFonts w:ascii="Arial" w:hAnsi="Arial" w:cs="Arial"/>
          <w:sz w:val="18"/>
          <w:szCs w:val="18"/>
          <w:lang w:eastAsia="ja-JP"/>
        </w:rPr>
        <w:t xml:space="preserve"> bedeutet das: Mehr als jede*r Zweite hat </w:t>
      </w:r>
      <w:r>
        <w:rPr>
          <w:rFonts w:ascii="Arial" w:hAnsi="Arial" w:cs="Arial"/>
          <w:sz w:val="18"/>
          <w:szCs w:val="18"/>
          <w:lang w:eastAsia="ja-JP"/>
        </w:rPr>
        <w:t xml:space="preserve">2025 </w:t>
      </w:r>
      <w:r w:rsidRPr="005E421B">
        <w:rPr>
          <w:rFonts w:ascii="Arial" w:hAnsi="Arial" w:cs="Arial"/>
          <w:sz w:val="18"/>
          <w:szCs w:val="18"/>
          <w:lang w:eastAsia="ja-JP"/>
        </w:rPr>
        <w:t>den eigenen Sparplan durchgezogen</w:t>
      </w:r>
      <w:r>
        <w:rPr>
          <w:rFonts w:ascii="Arial" w:hAnsi="Arial" w:cs="Arial"/>
          <w:sz w:val="18"/>
          <w:szCs w:val="18"/>
          <w:lang w:eastAsia="ja-JP"/>
        </w:rPr>
        <w:t>.</w:t>
      </w:r>
    </w:p>
    <w:p w14:paraId="6E360F1E" w14:textId="77777777" w:rsidR="001C2D1F" w:rsidRDefault="001C2D1F" w:rsidP="001C2D1F">
      <w:pPr>
        <w:spacing w:line="360" w:lineRule="auto"/>
        <w:rPr>
          <w:rFonts w:ascii="Arial" w:hAnsi="Arial" w:cs="Arial"/>
          <w:bCs/>
          <w:sz w:val="18"/>
          <w:szCs w:val="18"/>
          <w:lang w:eastAsia="ja-JP"/>
        </w:rPr>
      </w:pPr>
    </w:p>
    <w:p w14:paraId="2AEEF626" w14:textId="755A2091" w:rsidR="001C2D1F" w:rsidRDefault="001C2D1F" w:rsidP="001C2D1F">
      <w:pPr>
        <w:spacing w:line="360" w:lineRule="auto"/>
        <w:rPr>
          <w:rFonts w:ascii="Arial" w:hAnsi="Arial" w:cs="Arial"/>
          <w:bCs/>
          <w:sz w:val="18"/>
          <w:szCs w:val="18"/>
          <w:lang w:eastAsia="ja-JP"/>
        </w:rPr>
      </w:pPr>
      <w:r w:rsidRPr="00164EB6">
        <w:rPr>
          <w:rFonts w:ascii="Arial" w:hAnsi="Arial" w:cs="Arial"/>
          <w:bCs/>
          <w:sz w:val="18"/>
          <w:szCs w:val="18"/>
          <w:lang w:eastAsia="ja-JP"/>
        </w:rPr>
        <w:t xml:space="preserve">„Das Jahr 2025 war wirtschaftlich gesehen für viele nicht einfach. Und doch zeigt sich, dass die meisten Deutschen nicht frustriert reagierten, sondern besonnen handelten. Wer sparen konnte, tat dies in der Regel aus einer klaren Motivation heraus: zur Absicherung oder für den Vermögensaufbau. Das stimmt zuversichtlich für </w:t>
      </w:r>
      <w:r w:rsidR="00DF1408">
        <w:rPr>
          <w:rFonts w:ascii="Arial" w:hAnsi="Arial" w:cs="Arial"/>
          <w:bCs/>
          <w:sz w:val="18"/>
          <w:szCs w:val="18"/>
          <w:lang w:eastAsia="ja-JP"/>
        </w:rPr>
        <w:t>2026</w:t>
      </w:r>
      <w:r w:rsidRPr="00164EB6">
        <w:rPr>
          <w:rFonts w:ascii="Arial" w:hAnsi="Arial" w:cs="Arial"/>
          <w:bCs/>
          <w:sz w:val="18"/>
          <w:szCs w:val="18"/>
          <w:lang w:eastAsia="ja-JP"/>
        </w:rPr>
        <w:t>, denn wer heute klug plant, schafft sich für morgen neue Möglichkeiten“, resümiert Thomas Brosch, Geschäftsführer der norisbank.</w:t>
      </w:r>
    </w:p>
    <w:p w14:paraId="2C65DA36" w14:textId="77777777" w:rsidR="001C2D1F" w:rsidRDefault="001C2D1F" w:rsidP="001C2D1F">
      <w:pPr>
        <w:spacing w:line="360" w:lineRule="auto"/>
        <w:rPr>
          <w:rFonts w:ascii="Arial" w:hAnsi="Arial" w:cs="Arial"/>
          <w:sz w:val="18"/>
          <w:szCs w:val="18"/>
        </w:rPr>
      </w:pPr>
    </w:p>
    <w:p w14:paraId="5A710B41" w14:textId="77777777" w:rsidR="001C2D1F" w:rsidRDefault="001C2D1F" w:rsidP="001C2D1F">
      <w:pPr>
        <w:spacing w:line="360" w:lineRule="auto"/>
        <w:rPr>
          <w:rFonts w:ascii="Arial" w:hAnsi="Arial" w:cs="Arial"/>
          <w:color w:val="35312E"/>
          <w:sz w:val="18"/>
          <w:szCs w:val="18"/>
        </w:rPr>
      </w:pPr>
      <w:r w:rsidRPr="00882707">
        <w:rPr>
          <w:rFonts w:ascii="Arial" w:hAnsi="Arial" w:cs="Arial"/>
          <w:sz w:val="18"/>
          <w:szCs w:val="18"/>
        </w:rPr>
        <w:t xml:space="preserve">Mehr Informationen zur norisbank finden Sie unter </w:t>
      </w:r>
      <w:hyperlink r:id="rId11" w:history="1">
        <w:r w:rsidRPr="00882707">
          <w:rPr>
            <w:rStyle w:val="Hyperlink"/>
            <w:rFonts w:ascii="Arial" w:hAnsi="Arial" w:cs="Arial"/>
            <w:sz w:val="18"/>
            <w:szCs w:val="18"/>
          </w:rPr>
          <w:t>www.norisbank.de</w:t>
        </w:r>
      </w:hyperlink>
      <w:r>
        <w:rPr>
          <w:rFonts w:ascii="Arial" w:hAnsi="Arial" w:cs="Arial"/>
          <w:color w:val="35312E"/>
          <w:sz w:val="18"/>
          <w:szCs w:val="18"/>
        </w:rPr>
        <w:t>.</w:t>
      </w:r>
    </w:p>
    <w:p w14:paraId="3DC99AF3" w14:textId="77777777" w:rsidR="001C2D1F" w:rsidRDefault="001C2D1F" w:rsidP="001C2D1F">
      <w:pPr>
        <w:spacing w:line="360" w:lineRule="auto"/>
        <w:rPr>
          <w:rFonts w:ascii="Arial" w:hAnsi="Arial" w:cs="Arial"/>
          <w:color w:val="35312E"/>
          <w:sz w:val="18"/>
          <w:szCs w:val="18"/>
        </w:rPr>
      </w:pPr>
    </w:p>
    <w:p w14:paraId="7A4A2A0D" w14:textId="77777777" w:rsidR="001C2D1F" w:rsidRPr="006D436B" w:rsidRDefault="001C2D1F" w:rsidP="001C2D1F">
      <w:pPr>
        <w:spacing w:line="360" w:lineRule="auto"/>
        <w:rPr>
          <w:rFonts w:ascii="Arial" w:hAnsi="Arial" w:cs="Arial"/>
          <w:b/>
          <w:color w:val="101920" w:themeColor="text1"/>
          <w:sz w:val="18"/>
          <w:szCs w:val="18"/>
          <w:lang w:eastAsia="ja-JP"/>
        </w:rPr>
      </w:pPr>
      <w:r w:rsidRPr="006D436B">
        <w:rPr>
          <w:rFonts w:ascii="Arial" w:hAnsi="Arial" w:cs="Arial"/>
          <w:b/>
          <w:color w:val="101920" w:themeColor="text1"/>
          <w:sz w:val="18"/>
          <w:szCs w:val="18"/>
          <w:lang w:eastAsia="ja-JP"/>
        </w:rPr>
        <w:t>Über die Umfrage</w:t>
      </w:r>
    </w:p>
    <w:p w14:paraId="0A3C2365" w14:textId="77777777" w:rsidR="001C2D1F" w:rsidRPr="006D436B" w:rsidRDefault="001C2D1F" w:rsidP="001C2D1F">
      <w:pPr>
        <w:spacing w:line="360" w:lineRule="auto"/>
        <w:rPr>
          <w:rFonts w:ascii="Arial" w:hAnsi="Arial" w:cs="Arial"/>
          <w:color w:val="101920" w:themeColor="text1"/>
          <w:sz w:val="18"/>
          <w:szCs w:val="18"/>
        </w:rPr>
      </w:pPr>
      <w:r w:rsidRPr="00746F0E">
        <w:rPr>
          <w:rFonts w:ascii="Arial" w:hAnsi="Arial" w:cs="Arial"/>
          <w:color w:val="101920" w:themeColor="text1"/>
          <w:sz w:val="18"/>
          <w:szCs w:val="18"/>
        </w:rPr>
        <w:t>Die norisbank hat zusammen mit dem Marktforschungsinstitut I</w:t>
      </w:r>
      <w:r>
        <w:rPr>
          <w:rFonts w:ascii="Arial" w:hAnsi="Arial" w:cs="Arial"/>
          <w:color w:val="101920" w:themeColor="text1"/>
          <w:sz w:val="18"/>
          <w:szCs w:val="18"/>
        </w:rPr>
        <w:t>NNOFACT</w:t>
      </w:r>
      <w:r w:rsidRPr="00746F0E">
        <w:rPr>
          <w:rFonts w:ascii="Arial" w:hAnsi="Arial" w:cs="Arial"/>
          <w:color w:val="101920" w:themeColor="text1"/>
          <w:sz w:val="18"/>
          <w:szCs w:val="18"/>
        </w:rPr>
        <w:t xml:space="preserve"> AG 1.0</w:t>
      </w:r>
      <w:r>
        <w:rPr>
          <w:rFonts w:ascii="Arial" w:hAnsi="Arial" w:cs="Arial"/>
          <w:color w:val="101920" w:themeColor="text1"/>
          <w:sz w:val="18"/>
          <w:szCs w:val="18"/>
        </w:rPr>
        <w:t>41</w:t>
      </w:r>
      <w:r w:rsidRPr="00746F0E">
        <w:rPr>
          <w:rFonts w:ascii="Arial" w:hAnsi="Arial" w:cs="Arial"/>
          <w:color w:val="101920" w:themeColor="text1"/>
          <w:sz w:val="18"/>
          <w:szCs w:val="18"/>
        </w:rPr>
        <w:t xml:space="preserve"> Personen ab 18 Jahren bevölkerungsrepräsentativ nach Geschlecht, Alter und Region befragt. Die Online-Befragung wurde </w:t>
      </w:r>
      <w:r>
        <w:rPr>
          <w:rFonts w:ascii="Arial" w:hAnsi="Arial" w:cs="Arial"/>
          <w:color w:val="101920" w:themeColor="text1"/>
          <w:sz w:val="18"/>
          <w:szCs w:val="18"/>
        </w:rPr>
        <w:t>Ende Oktober 2025</w:t>
      </w:r>
      <w:r w:rsidRPr="00746F0E">
        <w:rPr>
          <w:rFonts w:ascii="Arial" w:hAnsi="Arial" w:cs="Arial"/>
          <w:color w:val="101920" w:themeColor="text1"/>
          <w:sz w:val="18"/>
          <w:szCs w:val="18"/>
        </w:rPr>
        <w:t xml:space="preserve"> durchgeführt.</w:t>
      </w:r>
    </w:p>
    <w:p w14:paraId="388F86AC" w14:textId="77777777" w:rsidR="001C2D1F" w:rsidRDefault="001C2D1F" w:rsidP="001C2D1F">
      <w:pPr>
        <w:spacing w:line="360" w:lineRule="auto"/>
        <w:rPr>
          <w:rFonts w:ascii="Arial" w:hAnsi="Arial" w:cs="Arial"/>
          <w:b/>
          <w:color w:val="101920" w:themeColor="text1"/>
          <w:sz w:val="18"/>
          <w:szCs w:val="18"/>
          <w:lang w:eastAsia="ja-JP"/>
        </w:rPr>
      </w:pPr>
    </w:p>
    <w:p w14:paraId="18F63914" w14:textId="77777777" w:rsidR="001C2D1F" w:rsidRDefault="001C2D1F" w:rsidP="001C2D1F">
      <w:pPr>
        <w:spacing w:line="360" w:lineRule="auto"/>
        <w:rPr>
          <w:rFonts w:ascii="Arial" w:hAnsi="Arial" w:cs="Arial"/>
          <w:b/>
          <w:color w:val="101920" w:themeColor="text1"/>
          <w:sz w:val="18"/>
          <w:szCs w:val="18"/>
          <w:lang w:eastAsia="ja-JP"/>
        </w:rPr>
      </w:pPr>
    </w:p>
    <w:p w14:paraId="2F45D7F4" w14:textId="77777777" w:rsidR="001C2D1F" w:rsidRDefault="001C2D1F" w:rsidP="001C2D1F">
      <w:pPr>
        <w:spacing w:line="360" w:lineRule="auto"/>
        <w:rPr>
          <w:rFonts w:ascii="Arial" w:hAnsi="Arial" w:cs="Arial"/>
          <w:b/>
          <w:color w:val="101920" w:themeColor="text1"/>
          <w:sz w:val="18"/>
          <w:szCs w:val="18"/>
          <w:lang w:eastAsia="ja-JP"/>
        </w:rPr>
      </w:pPr>
    </w:p>
    <w:p w14:paraId="752E530A" w14:textId="38F878FA" w:rsidR="001C2D1F" w:rsidRPr="006D436B" w:rsidRDefault="001C2D1F" w:rsidP="001C2D1F">
      <w:pPr>
        <w:spacing w:line="360" w:lineRule="auto"/>
        <w:rPr>
          <w:rFonts w:ascii="Arial" w:hAnsi="Arial" w:cs="Arial"/>
          <w:b/>
          <w:color w:val="101920" w:themeColor="text1"/>
          <w:sz w:val="18"/>
          <w:szCs w:val="18"/>
          <w:lang w:eastAsia="ja-JP"/>
        </w:rPr>
      </w:pPr>
      <w:r w:rsidRPr="006D436B">
        <w:rPr>
          <w:rFonts w:ascii="Arial" w:hAnsi="Arial" w:cs="Arial"/>
          <w:b/>
          <w:color w:val="101920" w:themeColor="text1"/>
          <w:sz w:val="18"/>
          <w:szCs w:val="18"/>
          <w:lang w:eastAsia="ja-JP"/>
        </w:rPr>
        <w:lastRenderedPageBreak/>
        <w:t>Über die norisbank</w:t>
      </w:r>
    </w:p>
    <w:p w14:paraId="0D34AFAE" w14:textId="77777777" w:rsidR="001C2D1F" w:rsidRPr="006D436B" w:rsidRDefault="001C2D1F" w:rsidP="001C2D1F">
      <w:pPr>
        <w:spacing w:line="360" w:lineRule="auto"/>
        <w:rPr>
          <w:rFonts w:ascii="Arial" w:hAnsi="Arial" w:cs="Arial"/>
          <w:color w:val="101920" w:themeColor="text1"/>
          <w:sz w:val="18"/>
          <w:szCs w:val="18"/>
        </w:rPr>
      </w:pPr>
      <w:r w:rsidRPr="006D436B">
        <w:rPr>
          <w:rFonts w:ascii="Arial" w:hAnsi="Arial" w:cs="Arial"/>
          <w:color w:val="101920" w:themeColor="text1"/>
          <w:sz w:val="18"/>
          <w:szCs w:val="18"/>
        </w:rPr>
        <w:t xml:space="preserve">Die norisbank – ein Unternehmen der Deutsche Bank Gruppe – ist eine moderne Direktbank, die ihren Kunden an 7 Tagen die Woche 24 Stunden zur Verfügung steht. Sie bietet ihren Kunden Produkte und Services in Testsieger-Qualität zu stets attraktiven Konditionen. </w:t>
      </w:r>
      <w:r w:rsidRPr="009935C2">
        <w:rPr>
          <w:rFonts w:ascii="Arial" w:hAnsi="Arial" w:cs="Arial"/>
          <w:color w:val="101920" w:themeColor="text1"/>
          <w:sz w:val="18"/>
          <w:szCs w:val="18"/>
        </w:rPr>
        <w:t>Neben den Kernangeboten – dem leistungsstarken „Top-Girokonto“ ab 0 Euro mit passender Kredit- oder Debitkarte</w:t>
      </w:r>
      <w:r>
        <w:rPr>
          <w:rFonts w:ascii="Arial" w:hAnsi="Arial" w:cs="Arial"/>
          <w:color w:val="101920" w:themeColor="text1"/>
          <w:sz w:val="18"/>
          <w:szCs w:val="18"/>
        </w:rPr>
        <w:t>, den attraktiven Tagesgeld-Angeboten</w:t>
      </w:r>
      <w:r w:rsidRPr="009935C2">
        <w:rPr>
          <w:rFonts w:ascii="Arial" w:hAnsi="Arial" w:cs="Arial"/>
          <w:color w:val="101920" w:themeColor="text1"/>
          <w:sz w:val="18"/>
          <w:szCs w:val="18"/>
        </w:rPr>
        <w:t xml:space="preserve"> sowie dem </w:t>
      </w:r>
      <w:r>
        <w:rPr>
          <w:rFonts w:ascii="Arial" w:hAnsi="Arial" w:cs="Arial"/>
          <w:color w:val="101920" w:themeColor="text1"/>
          <w:sz w:val="18"/>
          <w:szCs w:val="18"/>
        </w:rPr>
        <w:t>individuellen</w:t>
      </w:r>
      <w:r w:rsidRPr="009935C2">
        <w:rPr>
          <w:rFonts w:ascii="Arial" w:hAnsi="Arial" w:cs="Arial"/>
          <w:color w:val="101920" w:themeColor="text1"/>
          <w:sz w:val="18"/>
          <w:szCs w:val="18"/>
        </w:rPr>
        <w:t xml:space="preserve"> „Top-Kredit“ – </w:t>
      </w:r>
      <w:r>
        <w:rPr>
          <w:rFonts w:ascii="Arial" w:hAnsi="Arial" w:cs="Arial"/>
          <w:color w:val="101920" w:themeColor="text1"/>
          <w:sz w:val="18"/>
          <w:szCs w:val="18"/>
        </w:rPr>
        <w:t>bietet die norisbank ihren Kunden</w:t>
      </w:r>
      <w:r w:rsidRPr="009935C2">
        <w:rPr>
          <w:rFonts w:ascii="Arial" w:hAnsi="Arial" w:cs="Arial"/>
          <w:color w:val="101920" w:themeColor="text1"/>
          <w:sz w:val="18"/>
          <w:szCs w:val="18"/>
        </w:rPr>
        <w:t xml:space="preserve"> breit gefächerte Leistungen</w:t>
      </w:r>
      <w:r>
        <w:rPr>
          <w:rFonts w:ascii="Arial" w:hAnsi="Arial" w:cs="Arial"/>
          <w:color w:val="101920" w:themeColor="text1"/>
          <w:sz w:val="18"/>
          <w:szCs w:val="18"/>
        </w:rPr>
        <w:t xml:space="preserve"> in anerkannter Qualität</w:t>
      </w:r>
      <w:r w:rsidRPr="009935C2">
        <w:rPr>
          <w:rFonts w:ascii="Arial" w:hAnsi="Arial" w:cs="Arial"/>
          <w:color w:val="101920" w:themeColor="text1"/>
          <w:sz w:val="18"/>
          <w:szCs w:val="18"/>
        </w:rPr>
        <w:t xml:space="preserve"> zu exzellenten Konditionen</w:t>
      </w:r>
      <w:r w:rsidRPr="005A2EFF">
        <w:rPr>
          <w:rFonts w:ascii="Arial" w:hAnsi="Arial" w:cs="Arial"/>
          <w:color w:val="101920" w:themeColor="text1"/>
          <w:sz w:val="18"/>
          <w:szCs w:val="18"/>
        </w:rPr>
        <w:t>.</w:t>
      </w:r>
    </w:p>
    <w:p w14:paraId="3944623B" w14:textId="77777777" w:rsidR="001C2D1F" w:rsidRPr="006D436B" w:rsidRDefault="001C2D1F" w:rsidP="001C2D1F">
      <w:pPr>
        <w:spacing w:line="360" w:lineRule="auto"/>
        <w:rPr>
          <w:rFonts w:ascii="Arial" w:hAnsi="Arial" w:cs="Arial"/>
          <w:color w:val="101920" w:themeColor="text1"/>
          <w:sz w:val="18"/>
          <w:szCs w:val="18"/>
        </w:rPr>
      </w:pPr>
    </w:p>
    <w:p w14:paraId="0F7937DF" w14:textId="77777777" w:rsidR="001C2D1F" w:rsidRPr="00882707" w:rsidRDefault="001C2D1F" w:rsidP="001C2D1F">
      <w:pPr>
        <w:spacing w:line="360" w:lineRule="auto"/>
        <w:rPr>
          <w:rFonts w:ascii="Arial" w:hAnsi="Arial" w:cs="Arial"/>
          <w:sz w:val="18"/>
          <w:szCs w:val="18"/>
          <w:lang w:eastAsia="ja-JP"/>
        </w:rPr>
      </w:pPr>
      <w:r w:rsidRPr="006D436B">
        <w:rPr>
          <w:rFonts w:ascii="Arial" w:hAnsi="Arial" w:cs="Arial"/>
          <w:color w:val="101920" w:themeColor="text1"/>
          <w:sz w:val="18"/>
          <w:szCs w:val="18"/>
        </w:rPr>
        <w:t>Für ihre kundenorientierten</w:t>
      </w:r>
      <w:r>
        <w:rPr>
          <w:rFonts w:ascii="Arial" w:hAnsi="Arial" w:cs="Arial"/>
          <w:color w:val="101920" w:themeColor="text1"/>
          <w:sz w:val="18"/>
          <w:szCs w:val="18"/>
        </w:rPr>
        <w:t>, leistungsstarken</w:t>
      </w:r>
      <w:r w:rsidRPr="006D436B">
        <w:rPr>
          <w:rFonts w:ascii="Arial" w:hAnsi="Arial" w:cs="Arial"/>
          <w:color w:val="101920" w:themeColor="text1"/>
          <w:sz w:val="18"/>
          <w:szCs w:val="18"/>
        </w:rPr>
        <w:t xml:space="preserve"> Angebote wurde die norisbank in den letzten Jahren vielfach prämiert. So belegte unter anderem das norisbank Top-Girokonto beim großen Girokonten-Vergleich 202</w:t>
      </w:r>
      <w:r>
        <w:rPr>
          <w:rFonts w:ascii="Arial" w:hAnsi="Arial" w:cs="Arial"/>
          <w:color w:val="101920" w:themeColor="text1"/>
          <w:sz w:val="18"/>
          <w:szCs w:val="18"/>
        </w:rPr>
        <w:t>5</w:t>
      </w:r>
      <w:r w:rsidRPr="006D436B">
        <w:rPr>
          <w:rFonts w:ascii="Arial" w:hAnsi="Arial" w:cs="Arial"/>
          <w:color w:val="101920" w:themeColor="text1"/>
          <w:sz w:val="18"/>
          <w:szCs w:val="18"/>
        </w:rPr>
        <w:t xml:space="preserve"> von €uro Platz 1. 202</w:t>
      </w:r>
      <w:r>
        <w:rPr>
          <w:rFonts w:ascii="Arial" w:hAnsi="Arial" w:cs="Arial"/>
          <w:color w:val="101920" w:themeColor="text1"/>
          <w:sz w:val="18"/>
          <w:szCs w:val="18"/>
        </w:rPr>
        <w:t>5</w:t>
      </w:r>
      <w:r w:rsidRPr="006D436B">
        <w:rPr>
          <w:rFonts w:ascii="Arial" w:hAnsi="Arial" w:cs="Arial"/>
          <w:color w:val="101920" w:themeColor="text1"/>
          <w:sz w:val="18"/>
          <w:szCs w:val="18"/>
        </w:rPr>
        <w:t xml:space="preserve"> </w:t>
      </w:r>
      <w:r>
        <w:rPr>
          <w:rFonts w:ascii="Arial" w:hAnsi="Arial" w:cs="Arial"/>
          <w:color w:val="101920" w:themeColor="text1"/>
          <w:sz w:val="18"/>
          <w:szCs w:val="18"/>
        </w:rPr>
        <w:t xml:space="preserve">verlieh </w:t>
      </w:r>
      <w:r w:rsidRPr="006D436B">
        <w:rPr>
          <w:rFonts w:ascii="Arial" w:hAnsi="Arial" w:cs="Arial"/>
          <w:color w:val="101920" w:themeColor="text1"/>
          <w:sz w:val="18"/>
          <w:szCs w:val="18"/>
        </w:rPr>
        <w:t xml:space="preserve">Focus Money </w:t>
      </w:r>
      <w:r w:rsidRPr="008616A8">
        <w:rPr>
          <w:rFonts w:ascii="Arial" w:hAnsi="Arial" w:cs="Arial"/>
          <w:color w:val="101920" w:themeColor="text1"/>
          <w:sz w:val="18"/>
          <w:szCs w:val="18"/>
        </w:rPr>
        <w:t xml:space="preserve">auf Basis eines deutschlandweiten Tests </w:t>
      </w:r>
      <w:r>
        <w:rPr>
          <w:rFonts w:ascii="Arial" w:hAnsi="Arial" w:cs="Arial"/>
          <w:color w:val="101920" w:themeColor="text1"/>
          <w:sz w:val="18"/>
          <w:szCs w:val="18"/>
        </w:rPr>
        <w:t xml:space="preserve">der </w:t>
      </w:r>
      <w:r w:rsidRPr="006D436B">
        <w:rPr>
          <w:rFonts w:ascii="Arial" w:hAnsi="Arial" w:cs="Arial"/>
          <w:color w:val="101920" w:themeColor="text1"/>
          <w:sz w:val="18"/>
          <w:szCs w:val="18"/>
        </w:rPr>
        <w:t>norisbank</w:t>
      </w:r>
      <w:r>
        <w:rPr>
          <w:rFonts w:ascii="Arial" w:hAnsi="Arial" w:cs="Arial"/>
          <w:color w:val="101920" w:themeColor="text1"/>
          <w:sz w:val="18"/>
          <w:szCs w:val="18"/>
        </w:rPr>
        <w:t xml:space="preserve"> überdies</w:t>
      </w:r>
      <w:r w:rsidRPr="006D436B">
        <w:rPr>
          <w:rFonts w:ascii="Arial" w:hAnsi="Arial" w:cs="Arial"/>
          <w:color w:val="101920" w:themeColor="text1"/>
          <w:sz w:val="18"/>
          <w:szCs w:val="18"/>
        </w:rPr>
        <w:t xml:space="preserve"> </w:t>
      </w:r>
      <w:r>
        <w:rPr>
          <w:rFonts w:ascii="Arial" w:hAnsi="Arial" w:cs="Arial"/>
          <w:color w:val="101920" w:themeColor="text1"/>
          <w:sz w:val="18"/>
          <w:szCs w:val="18"/>
        </w:rPr>
        <w:t>die Auszeichnung</w:t>
      </w:r>
      <w:r w:rsidRPr="006D436B">
        <w:rPr>
          <w:rFonts w:ascii="Arial" w:hAnsi="Arial" w:cs="Arial"/>
          <w:color w:val="101920" w:themeColor="text1"/>
          <w:sz w:val="18"/>
          <w:szCs w:val="18"/>
        </w:rPr>
        <w:t xml:space="preserve"> „Deutschlands beste</w:t>
      </w:r>
      <w:r>
        <w:rPr>
          <w:rFonts w:ascii="Arial" w:hAnsi="Arial" w:cs="Arial"/>
          <w:color w:val="101920" w:themeColor="text1"/>
          <w:sz w:val="18"/>
          <w:szCs w:val="18"/>
        </w:rPr>
        <w:t xml:space="preserve"> </w:t>
      </w:r>
      <w:r w:rsidRPr="006D436B">
        <w:rPr>
          <w:rFonts w:ascii="Arial" w:hAnsi="Arial" w:cs="Arial"/>
          <w:color w:val="101920" w:themeColor="text1"/>
          <w:sz w:val="18"/>
          <w:szCs w:val="18"/>
        </w:rPr>
        <w:t>Direktbank“. Vielfache weitere Auszeichnungen bestätigen darüber hinaus die Top-Qualität und das hervorragende Preis-Leistungs-Verhältnis der norisbank:</w:t>
      </w:r>
      <w:r>
        <w:rPr>
          <w:rFonts w:ascii="Arial" w:hAnsi="Arial" w:cs="Arial"/>
          <w:color w:val="101920" w:themeColor="text1"/>
          <w:sz w:val="18"/>
          <w:szCs w:val="18"/>
        </w:rPr>
        <w:t xml:space="preserve"> </w:t>
      </w:r>
      <w:hyperlink r:id="rId12" w:history="1">
        <w:r w:rsidRPr="002B5CE2">
          <w:rPr>
            <w:rStyle w:val="Hyperlink"/>
            <w:rFonts w:ascii="Arial" w:hAnsi="Arial" w:cs="Arial"/>
            <w:sz w:val="18"/>
            <w:szCs w:val="18"/>
          </w:rPr>
          <w:t>https://www.norisbank.de/ueber-uns/norisbank/auszeichnungen.html</w:t>
        </w:r>
      </w:hyperlink>
    </w:p>
    <w:p w14:paraId="38610F99" w14:textId="77777777" w:rsidR="001C2D1F" w:rsidRPr="00882707" w:rsidRDefault="001C2D1F" w:rsidP="001C2D1F">
      <w:pPr>
        <w:spacing w:line="360" w:lineRule="auto"/>
        <w:rPr>
          <w:rFonts w:ascii="Arial" w:hAnsi="Arial" w:cs="Arial"/>
          <w:sz w:val="18"/>
          <w:szCs w:val="18"/>
          <w:lang w:eastAsia="ja-JP"/>
        </w:rPr>
      </w:pPr>
    </w:p>
    <w:p w14:paraId="7EA03326" w14:textId="77777777" w:rsidR="001C2D1F" w:rsidRPr="00882707" w:rsidRDefault="001C2D1F" w:rsidP="001C2D1F">
      <w:pPr>
        <w:spacing w:line="360" w:lineRule="auto"/>
        <w:rPr>
          <w:rFonts w:ascii="Arial" w:hAnsi="Arial" w:cs="Arial"/>
          <w:sz w:val="18"/>
          <w:szCs w:val="18"/>
        </w:rPr>
      </w:pPr>
      <w:r w:rsidRPr="00882707">
        <w:rPr>
          <w:rFonts w:ascii="Arial" w:hAnsi="Arial" w:cs="Arial"/>
          <w:b/>
          <w:sz w:val="18"/>
          <w:szCs w:val="18"/>
        </w:rPr>
        <w:t xml:space="preserve">Pressekontakt der norisbank: </w:t>
      </w:r>
      <w:r w:rsidRPr="00882707">
        <w:rPr>
          <w:rFonts w:ascii="Arial" w:hAnsi="Arial" w:cs="Arial"/>
          <w:b/>
          <w:sz w:val="18"/>
          <w:szCs w:val="18"/>
        </w:rPr>
        <w:br/>
      </w:r>
      <w:r w:rsidRPr="00882707">
        <w:rPr>
          <w:rFonts w:ascii="Arial" w:hAnsi="Arial" w:cs="Arial"/>
          <w:sz w:val="18"/>
          <w:szCs w:val="18"/>
        </w:rPr>
        <w:t>Christian Jacobs</w:t>
      </w:r>
      <w:r w:rsidRPr="00882707">
        <w:rPr>
          <w:rFonts w:ascii="Arial" w:hAnsi="Arial" w:cs="Arial"/>
          <w:sz w:val="18"/>
          <w:szCs w:val="18"/>
        </w:rPr>
        <w:br/>
        <w:t>Kommunikation &amp; Presse</w:t>
      </w:r>
      <w:r w:rsidRPr="00882707">
        <w:rPr>
          <w:rFonts w:ascii="Arial" w:hAnsi="Arial" w:cs="Arial"/>
          <w:sz w:val="18"/>
          <w:szCs w:val="18"/>
        </w:rPr>
        <w:br/>
      </w:r>
      <w:r w:rsidRPr="0047038B">
        <w:rPr>
          <w:rFonts w:ascii="Arial" w:hAnsi="Arial" w:cs="Arial"/>
          <w:bCs/>
          <w:color w:val="101920" w:themeColor="text1"/>
          <w:sz w:val="18"/>
          <w:szCs w:val="18"/>
          <w:lang w:eastAsia="ja-JP"/>
        </w:rPr>
        <w:t>Bundeskanzlerplatz 4, 53113 Bonn</w:t>
      </w:r>
      <w:r w:rsidRPr="0047038B">
        <w:rPr>
          <w:rFonts w:ascii="Arial" w:hAnsi="Arial" w:cs="Arial"/>
          <w:bCs/>
          <w:color w:val="101920" w:themeColor="text1"/>
          <w:sz w:val="18"/>
          <w:szCs w:val="18"/>
          <w:lang w:eastAsia="ja-JP"/>
        </w:rPr>
        <w:br/>
      </w:r>
      <w:r w:rsidRPr="00882707">
        <w:rPr>
          <w:rFonts w:ascii="Arial" w:hAnsi="Arial" w:cs="Arial"/>
          <w:sz w:val="18"/>
          <w:szCs w:val="18"/>
        </w:rPr>
        <w:t>Tel.: +49 228 280-45190</w:t>
      </w:r>
      <w:r w:rsidRPr="00882707">
        <w:rPr>
          <w:rFonts w:ascii="Arial" w:hAnsi="Arial" w:cs="Arial"/>
          <w:sz w:val="18"/>
          <w:szCs w:val="18"/>
        </w:rPr>
        <w:br/>
        <w:t xml:space="preserve">E-Mail: </w:t>
      </w:r>
      <w:hyperlink r:id="rId13" w:history="1">
        <w:r w:rsidRPr="00882707">
          <w:rPr>
            <w:rStyle w:val="Hyperlink"/>
            <w:rFonts w:ascii="Arial" w:hAnsi="Arial" w:cs="Arial"/>
            <w:sz w:val="18"/>
            <w:szCs w:val="18"/>
          </w:rPr>
          <w:t>christian-a.jacobs@norisbank.de</w:t>
        </w:r>
      </w:hyperlink>
    </w:p>
    <w:p w14:paraId="62D73F73" w14:textId="77777777" w:rsidR="001C2D1F" w:rsidRPr="00882707" w:rsidRDefault="001C2D1F" w:rsidP="001C2D1F">
      <w:pPr>
        <w:spacing w:line="360" w:lineRule="auto"/>
        <w:rPr>
          <w:rFonts w:ascii="Arial" w:hAnsi="Arial" w:cs="Arial"/>
          <w:sz w:val="18"/>
          <w:szCs w:val="18"/>
        </w:rPr>
      </w:pPr>
    </w:p>
    <w:p w14:paraId="308C8EF8" w14:textId="77777777" w:rsidR="00B36151" w:rsidRPr="00D212A8" w:rsidRDefault="00B36151" w:rsidP="00B36151">
      <w:pPr>
        <w:pStyle w:val="Flietext"/>
        <w:rPr>
          <w:rFonts w:ascii="Source Sans 3" w:hAnsi="Source Sans 3"/>
          <w:noProof/>
          <w:sz w:val="21"/>
          <w:szCs w:val="21"/>
        </w:rPr>
      </w:pPr>
    </w:p>
    <w:p w14:paraId="2B985B80" w14:textId="77777777" w:rsidR="00D9799E" w:rsidRDefault="00D9799E" w:rsidP="00B36151">
      <w:pPr>
        <w:pStyle w:val="Flietext"/>
        <w:rPr>
          <w:rFonts w:ascii="Source Sans 3" w:hAnsi="Source Sans 3"/>
          <w:noProof/>
        </w:rPr>
      </w:pPr>
    </w:p>
    <w:p w14:paraId="14D804D2" w14:textId="77777777" w:rsidR="00B36151" w:rsidRPr="00B36151" w:rsidRDefault="00B36151" w:rsidP="00B36151"/>
    <w:sectPr w:rsidR="00B36151" w:rsidRPr="00B36151" w:rsidSect="001C2D1F">
      <w:headerReference w:type="default" r:id="rId14"/>
      <w:footerReference w:type="default" r:id="rId15"/>
      <w:headerReference w:type="first" r:id="rId16"/>
      <w:footerReference w:type="first" r:id="rId17"/>
      <w:pgSz w:w="11906" w:h="16838" w:code="9"/>
      <w:pgMar w:top="2268" w:right="1132" w:bottom="1276" w:left="1418"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F405FE" w14:textId="77777777" w:rsidR="00130D00" w:rsidRDefault="00130D00">
      <w:r>
        <w:separator/>
      </w:r>
    </w:p>
  </w:endnote>
  <w:endnote w:type="continuationSeparator" w:id="0">
    <w:p w14:paraId="49D52FE9" w14:textId="77777777" w:rsidR="00130D00" w:rsidRDefault="00130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utscheBank">
    <w:altName w:val="Calibri"/>
    <w:panose1 w:val="020B0503020202030204"/>
    <w:charset w:val="00"/>
    <w:family w:val="swiss"/>
    <w:pitch w:val="variable"/>
    <w:sig w:usb0="A00002EF" w:usb1="4000003B" w:usb2="00000020" w:usb3="00000000" w:csb0="0000009F"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eutsche Bank Text">
    <w:altName w:val="Calibri"/>
    <w:panose1 w:val="020B0503020202030204"/>
    <w:charset w:val="00"/>
    <w:family w:val="swiss"/>
    <w:pitch w:val="variable"/>
    <w:sig w:usb0="A000006F" w:usb1="0000006B" w:usb2="00000028"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ource Sans 3">
    <w:altName w:val="Calibri"/>
    <w:charset w:val="00"/>
    <w:family w:val="swiss"/>
    <w:pitch w:val="variable"/>
    <w:sig w:usb0="E00002FF" w:usb1="00002003" w:usb2="00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8ED7C" w14:textId="77777777" w:rsidR="005F31A3" w:rsidRDefault="005F31A3" w:rsidP="00B276A2">
    <w:pPr>
      <w:pStyle w:val="Fuzeile"/>
    </w:pPr>
  </w:p>
  <w:p w14:paraId="5DEB7D78" w14:textId="77777777" w:rsidR="005F31A3" w:rsidRDefault="005F31A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5E28" w14:textId="30FF4B94" w:rsidR="0079519B" w:rsidRDefault="0079519B" w:rsidP="0079519B">
    <w:pPr>
      <w:rPr>
        <w:rFonts w:ascii="Source Sans 3" w:hAnsi="Source Sans 3"/>
        <w:sz w:val="16"/>
        <w:szCs w:val="22"/>
      </w:rPr>
    </w:pPr>
    <w:r w:rsidRPr="00E716D0">
      <w:rPr>
        <w:rFonts w:ascii="Source Sans 3" w:hAnsi="Source Sans 3"/>
        <w:sz w:val="16"/>
        <w:szCs w:val="22"/>
      </w:rPr>
      <w:tab/>
    </w:r>
    <w:r w:rsidRPr="00E716D0">
      <w:rPr>
        <w:rFonts w:ascii="Source Sans 3" w:hAnsi="Source Sans 3"/>
        <w:sz w:val="16"/>
        <w:szCs w:val="22"/>
      </w:rPr>
      <w:tab/>
    </w:r>
    <w:r w:rsidRPr="00E716D0">
      <w:rPr>
        <w:rFonts w:ascii="Source Sans 3" w:hAnsi="Source Sans 3"/>
        <w:sz w:val="16"/>
        <w:szCs w:val="22"/>
      </w:rPr>
      <w:tab/>
    </w:r>
  </w:p>
  <w:p w14:paraId="7E3E5CFD" w14:textId="77777777" w:rsidR="0079519B" w:rsidRDefault="0079519B" w:rsidP="0079519B">
    <w:pPr>
      <w:rPr>
        <w:rFonts w:ascii="Source Sans 3" w:hAnsi="Source Sans 3"/>
        <w:sz w:val="16"/>
        <w:szCs w:val="22"/>
      </w:rPr>
    </w:pPr>
  </w:p>
  <w:p w14:paraId="5A536F81" w14:textId="77777777" w:rsidR="0079519B" w:rsidRPr="0079519B" w:rsidRDefault="0079519B" w:rsidP="0079519B">
    <w:pPr>
      <w:rPr>
        <w:rFonts w:ascii="Source Sans 3" w:hAnsi="Source Sans 3"/>
        <w:sz w:val="16"/>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9459D" w14:textId="77777777" w:rsidR="00130D00" w:rsidRDefault="00130D00">
      <w:r>
        <w:separator/>
      </w:r>
    </w:p>
  </w:footnote>
  <w:footnote w:type="continuationSeparator" w:id="0">
    <w:p w14:paraId="4D5BCF66" w14:textId="77777777" w:rsidR="00130D00" w:rsidRDefault="00130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25120" w14:textId="52EF08E6" w:rsidR="005F31A3" w:rsidRDefault="00424FC7">
    <w:r>
      <w:rPr>
        <w:noProof/>
      </w:rPr>
      <w:drawing>
        <wp:anchor distT="0" distB="0" distL="114300" distR="114300" simplePos="0" relativeHeight="251662336" behindDoc="1" locked="1" layoutInCell="1" allowOverlap="1" wp14:anchorId="37354409" wp14:editId="38EB3135">
          <wp:simplePos x="0" y="0"/>
          <wp:positionH relativeFrom="column">
            <wp:posOffset>-883285</wp:posOffset>
          </wp:positionH>
          <wp:positionV relativeFrom="page">
            <wp:posOffset>6350</wp:posOffset>
          </wp:positionV>
          <wp:extent cx="7536815" cy="10665460"/>
          <wp:effectExtent l="0" t="0" r="0" b="0"/>
          <wp:wrapNone/>
          <wp:docPr id="118027718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371728" name="Grafik 3"/>
                  <pic:cNvPicPr/>
                </pic:nvPicPr>
                <pic:blipFill>
                  <a:blip r:embed="rId1"/>
                  <a:stretch>
                    <a:fillRect/>
                  </a:stretch>
                </pic:blipFill>
                <pic:spPr>
                  <a:xfrm>
                    <a:off x="0" y="0"/>
                    <a:ext cx="7536815" cy="1066546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72229" w14:textId="77777777" w:rsidR="005F31A3" w:rsidRDefault="005F31A3" w:rsidP="00990D55">
    <w:pPr>
      <w:framePr w:w="184" w:h="2939" w:hRule="exact" w:hSpace="142" w:wrap="notBeside" w:vAnchor="page" w:hAnchor="page" w:x="1248" w:y="2348"/>
    </w:pPr>
  </w:p>
  <w:p w14:paraId="5EE667F1" w14:textId="77777777" w:rsidR="003F0249" w:rsidRPr="00E46EAA" w:rsidRDefault="003F0249" w:rsidP="00990D55">
    <w:pPr>
      <w:framePr w:w="184" w:h="2939" w:hRule="exact" w:hSpace="142" w:wrap="notBeside" w:vAnchor="page" w:hAnchor="page" w:x="1248" w:y="2348"/>
    </w:pPr>
  </w:p>
  <w:p w14:paraId="3A52BC08" w14:textId="3BD4527A" w:rsidR="005F31A3" w:rsidRPr="00350EAC" w:rsidRDefault="00E7643E" w:rsidP="003875CD">
    <w:pPr>
      <w:pStyle w:val="Identifier"/>
    </w:pPr>
    <w:r>
      <w:drawing>
        <wp:anchor distT="0" distB="0" distL="114300" distR="114300" simplePos="0" relativeHeight="251660288" behindDoc="1" locked="1" layoutInCell="1" allowOverlap="1" wp14:anchorId="4D868DE1" wp14:editId="0347A49F">
          <wp:simplePos x="0" y="0"/>
          <wp:positionH relativeFrom="column">
            <wp:posOffset>-900430</wp:posOffset>
          </wp:positionH>
          <wp:positionV relativeFrom="page">
            <wp:posOffset>18415</wp:posOffset>
          </wp:positionV>
          <wp:extent cx="7536815" cy="10665460"/>
          <wp:effectExtent l="0" t="0" r="0" b="0"/>
          <wp:wrapNone/>
          <wp:docPr id="26737172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371728" name="Grafik 3"/>
                  <pic:cNvPicPr/>
                </pic:nvPicPr>
                <pic:blipFill>
                  <a:blip r:embed="rId1"/>
                  <a:stretch>
                    <a:fillRect/>
                  </a:stretch>
                </pic:blipFill>
                <pic:spPr>
                  <a:xfrm>
                    <a:off x="0" y="0"/>
                    <a:ext cx="7536815" cy="10665460"/>
                  </a:xfrm>
                  <a:prstGeom prst="rect">
                    <a:avLst/>
                  </a:prstGeom>
                </pic:spPr>
              </pic:pic>
            </a:graphicData>
          </a:graphic>
          <wp14:sizeRelH relativeFrom="page">
            <wp14:pctWidth>0</wp14:pctWidth>
          </wp14:sizeRelH>
          <wp14:sizeRelV relativeFrom="page">
            <wp14:pctHeight>0</wp14:pctHeight>
          </wp14:sizeRelV>
        </wp:anchor>
      </w:drawing>
    </w:r>
    <w:r w:rsidR="004F5A24">
      <w:br/>
    </w:r>
    <w:r w:rsidR="00751015" w:rsidRPr="004F5A24">
      <mc:AlternateContent>
        <mc:Choice Requires="wps">
          <w:drawing>
            <wp:anchor distT="0" distB="0" distL="114300" distR="114300" simplePos="0" relativeHeight="251655168" behindDoc="0" locked="1" layoutInCell="0" allowOverlap="1" wp14:anchorId="07975089" wp14:editId="54CBDFCF">
              <wp:simplePos x="0" y="0"/>
              <wp:positionH relativeFrom="page">
                <wp:posOffset>0</wp:posOffset>
              </wp:positionH>
              <wp:positionV relativeFrom="page">
                <wp:posOffset>3776980</wp:posOffset>
              </wp:positionV>
              <wp:extent cx="179705" cy="3810"/>
              <wp:effectExtent l="0" t="0" r="1270" b="635"/>
              <wp:wrapNone/>
              <wp:docPr id="1" name="Rectangl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38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899605" id="Rectangle 2" o:spid="_x0000_s1026" alt="&quot;&quot;" style="position:absolute;margin-left:0;margin-top:297.4pt;width:14.15pt;height:.3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" o:allowincell="f" fillcolor="black" stroked="f">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22B84210"/>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9C0ABB22"/>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8B86F47C"/>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4796953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518E355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4E1681A"/>
    <w:multiLevelType w:val="hybridMultilevel"/>
    <w:tmpl w:val="1BC0D6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C257B59"/>
    <w:multiLevelType w:val="hybridMultilevel"/>
    <w:tmpl w:val="D3E80C00"/>
    <w:lvl w:ilvl="0" w:tplc="37F8A3B4">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26054309">
    <w:abstractNumId w:val="4"/>
  </w:num>
  <w:num w:numId="2" w16cid:durableId="2139950905">
    <w:abstractNumId w:val="3"/>
  </w:num>
  <w:num w:numId="3" w16cid:durableId="538321865">
    <w:abstractNumId w:val="2"/>
  </w:num>
  <w:num w:numId="4" w16cid:durableId="1704210526">
    <w:abstractNumId w:val="1"/>
  </w:num>
  <w:num w:numId="5" w16cid:durableId="1230506671">
    <w:abstractNumId w:val="0"/>
  </w:num>
  <w:num w:numId="6" w16cid:durableId="1850944527">
    <w:abstractNumId w:val="6"/>
  </w:num>
  <w:num w:numId="7" w16cid:durableId="17278705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rawingGridHorizontalSpacing w:val="78"/>
  <w:displayHorizontalDrawingGridEvery w:val="2"/>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17C"/>
    <w:rsid w:val="0001709D"/>
    <w:rsid w:val="00023256"/>
    <w:rsid w:val="00025704"/>
    <w:rsid w:val="00026DC6"/>
    <w:rsid w:val="00027B38"/>
    <w:rsid w:val="00043658"/>
    <w:rsid w:val="000462CC"/>
    <w:rsid w:val="00052A00"/>
    <w:rsid w:val="000538EF"/>
    <w:rsid w:val="000551CC"/>
    <w:rsid w:val="000634C0"/>
    <w:rsid w:val="00065674"/>
    <w:rsid w:val="000665B2"/>
    <w:rsid w:val="000756C1"/>
    <w:rsid w:val="00077B3B"/>
    <w:rsid w:val="0009190F"/>
    <w:rsid w:val="000919D4"/>
    <w:rsid w:val="000A2165"/>
    <w:rsid w:val="000A4266"/>
    <w:rsid w:val="000D5063"/>
    <w:rsid w:val="000D7EF2"/>
    <w:rsid w:val="000F1808"/>
    <w:rsid w:val="000F651A"/>
    <w:rsid w:val="00105373"/>
    <w:rsid w:val="00110001"/>
    <w:rsid w:val="0011130C"/>
    <w:rsid w:val="001119F6"/>
    <w:rsid w:val="00130D00"/>
    <w:rsid w:val="0014515D"/>
    <w:rsid w:val="001643FC"/>
    <w:rsid w:val="001828C3"/>
    <w:rsid w:val="00182E18"/>
    <w:rsid w:val="00185F37"/>
    <w:rsid w:val="00196397"/>
    <w:rsid w:val="00196E4C"/>
    <w:rsid w:val="00197817"/>
    <w:rsid w:val="001A18E3"/>
    <w:rsid w:val="001A4317"/>
    <w:rsid w:val="001C07D0"/>
    <w:rsid w:val="001C2D1F"/>
    <w:rsid w:val="001C43E7"/>
    <w:rsid w:val="001C7E97"/>
    <w:rsid w:val="001E0EBE"/>
    <w:rsid w:val="001E145E"/>
    <w:rsid w:val="001F24DA"/>
    <w:rsid w:val="001F721D"/>
    <w:rsid w:val="00217F01"/>
    <w:rsid w:val="00231665"/>
    <w:rsid w:val="0024770A"/>
    <w:rsid w:val="00251041"/>
    <w:rsid w:val="002527E3"/>
    <w:rsid w:val="00253532"/>
    <w:rsid w:val="00267867"/>
    <w:rsid w:val="002713A8"/>
    <w:rsid w:val="002754BD"/>
    <w:rsid w:val="002757EC"/>
    <w:rsid w:val="002915DB"/>
    <w:rsid w:val="002A277E"/>
    <w:rsid w:val="002A3B23"/>
    <w:rsid w:val="002A573A"/>
    <w:rsid w:val="002B1676"/>
    <w:rsid w:val="002D2EA8"/>
    <w:rsid w:val="002D39E1"/>
    <w:rsid w:val="002D4E22"/>
    <w:rsid w:val="002D6101"/>
    <w:rsid w:val="002E42D3"/>
    <w:rsid w:val="002F3A40"/>
    <w:rsid w:val="002F523E"/>
    <w:rsid w:val="002F5771"/>
    <w:rsid w:val="002F764E"/>
    <w:rsid w:val="00305D2F"/>
    <w:rsid w:val="00314B82"/>
    <w:rsid w:val="003201C1"/>
    <w:rsid w:val="003213C7"/>
    <w:rsid w:val="0032175D"/>
    <w:rsid w:val="00325113"/>
    <w:rsid w:val="003465AE"/>
    <w:rsid w:val="00350EAC"/>
    <w:rsid w:val="00354599"/>
    <w:rsid w:val="00363835"/>
    <w:rsid w:val="003648E2"/>
    <w:rsid w:val="00382529"/>
    <w:rsid w:val="00382572"/>
    <w:rsid w:val="003875CD"/>
    <w:rsid w:val="00390C81"/>
    <w:rsid w:val="0039505A"/>
    <w:rsid w:val="00396158"/>
    <w:rsid w:val="003978A7"/>
    <w:rsid w:val="00397CD9"/>
    <w:rsid w:val="003A5F72"/>
    <w:rsid w:val="003B484D"/>
    <w:rsid w:val="003C09D3"/>
    <w:rsid w:val="003D1B5A"/>
    <w:rsid w:val="003E3208"/>
    <w:rsid w:val="003F0249"/>
    <w:rsid w:val="003F4C2F"/>
    <w:rsid w:val="003F6EB2"/>
    <w:rsid w:val="0041453A"/>
    <w:rsid w:val="00416CF8"/>
    <w:rsid w:val="00424FC7"/>
    <w:rsid w:val="004336E1"/>
    <w:rsid w:val="004354F8"/>
    <w:rsid w:val="0045793F"/>
    <w:rsid w:val="0047063C"/>
    <w:rsid w:val="00471DAB"/>
    <w:rsid w:val="00471FB7"/>
    <w:rsid w:val="004A0D65"/>
    <w:rsid w:val="004A2EED"/>
    <w:rsid w:val="004C0BDC"/>
    <w:rsid w:val="004C7B3B"/>
    <w:rsid w:val="004E08D6"/>
    <w:rsid w:val="004E1ACA"/>
    <w:rsid w:val="004E317D"/>
    <w:rsid w:val="004E5ED0"/>
    <w:rsid w:val="004F431B"/>
    <w:rsid w:val="004F4FB0"/>
    <w:rsid w:val="004F5A24"/>
    <w:rsid w:val="00510F4B"/>
    <w:rsid w:val="0051365B"/>
    <w:rsid w:val="00535582"/>
    <w:rsid w:val="00536EF6"/>
    <w:rsid w:val="00543025"/>
    <w:rsid w:val="00544798"/>
    <w:rsid w:val="00571ACF"/>
    <w:rsid w:val="00572D99"/>
    <w:rsid w:val="005738EE"/>
    <w:rsid w:val="00576B71"/>
    <w:rsid w:val="00583F11"/>
    <w:rsid w:val="00584AB6"/>
    <w:rsid w:val="00585395"/>
    <w:rsid w:val="0058782F"/>
    <w:rsid w:val="005974BE"/>
    <w:rsid w:val="00597CCA"/>
    <w:rsid w:val="005E3E26"/>
    <w:rsid w:val="005E466C"/>
    <w:rsid w:val="005F31A3"/>
    <w:rsid w:val="00610232"/>
    <w:rsid w:val="00622DBC"/>
    <w:rsid w:val="006233D0"/>
    <w:rsid w:val="006313BB"/>
    <w:rsid w:val="00633D40"/>
    <w:rsid w:val="00634AF7"/>
    <w:rsid w:val="00640329"/>
    <w:rsid w:val="00657B9F"/>
    <w:rsid w:val="0067788E"/>
    <w:rsid w:val="00680F86"/>
    <w:rsid w:val="00682B75"/>
    <w:rsid w:val="006842ED"/>
    <w:rsid w:val="00693916"/>
    <w:rsid w:val="006B16F6"/>
    <w:rsid w:val="006B7B02"/>
    <w:rsid w:val="006E53A7"/>
    <w:rsid w:val="006F5240"/>
    <w:rsid w:val="006F6D55"/>
    <w:rsid w:val="007228C6"/>
    <w:rsid w:val="007272A3"/>
    <w:rsid w:val="0073115A"/>
    <w:rsid w:val="00735D98"/>
    <w:rsid w:val="007362BE"/>
    <w:rsid w:val="00737269"/>
    <w:rsid w:val="00750254"/>
    <w:rsid w:val="007505A4"/>
    <w:rsid w:val="00751015"/>
    <w:rsid w:val="00752E03"/>
    <w:rsid w:val="007701D8"/>
    <w:rsid w:val="00783929"/>
    <w:rsid w:val="00785F16"/>
    <w:rsid w:val="0079519B"/>
    <w:rsid w:val="007A00A5"/>
    <w:rsid w:val="007B244B"/>
    <w:rsid w:val="007B2F04"/>
    <w:rsid w:val="007B4F48"/>
    <w:rsid w:val="007B4FE9"/>
    <w:rsid w:val="007C3C96"/>
    <w:rsid w:val="007D58F8"/>
    <w:rsid w:val="007D7072"/>
    <w:rsid w:val="007D787A"/>
    <w:rsid w:val="007E6857"/>
    <w:rsid w:val="008016F5"/>
    <w:rsid w:val="0081555D"/>
    <w:rsid w:val="00835BD0"/>
    <w:rsid w:val="00843C73"/>
    <w:rsid w:val="008443EB"/>
    <w:rsid w:val="0085313D"/>
    <w:rsid w:val="00864008"/>
    <w:rsid w:val="0088410D"/>
    <w:rsid w:val="008A509A"/>
    <w:rsid w:val="008A6767"/>
    <w:rsid w:val="008B295E"/>
    <w:rsid w:val="008C6F85"/>
    <w:rsid w:val="008F577D"/>
    <w:rsid w:val="009010C8"/>
    <w:rsid w:val="00904A6D"/>
    <w:rsid w:val="0091191E"/>
    <w:rsid w:val="00912584"/>
    <w:rsid w:val="009164B6"/>
    <w:rsid w:val="00922BF9"/>
    <w:rsid w:val="0093383D"/>
    <w:rsid w:val="00941296"/>
    <w:rsid w:val="0094602F"/>
    <w:rsid w:val="009540F1"/>
    <w:rsid w:val="009627BA"/>
    <w:rsid w:val="00963516"/>
    <w:rsid w:val="0096400D"/>
    <w:rsid w:val="0096443F"/>
    <w:rsid w:val="0096598A"/>
    <w:rsid w:val="0096762B"/>
    <w:rsid w:val="009852AB"/>
    <w:rsid w:val="00990D55"/>
    <w:rsid w:val="0099517C"/>
    <w:rsid w:val="00995CBD"/>
    <w:rsid w:val="009A0389"/>
    <w:rsid w:val="009A12CC"/>
    <w:rsid w:val="009C6A20"/>
    <w:rsid w:val="009D1575"/>
    <w:rsid w:val="00A038F1"/>
    <w:rsid w:val="00A0495E"/>
    <w:rsid w:val="00A27332"/>
    <w:rsid w:val="00A30FFF"/>
    <w:rsid w:val="00A35336"/>
    <w:rsid w:val="00A43489"/>
    <w:rsid w:val="00A84CD1"/>
    <w:rsid w:val="00A96FB3"/>
    <w:rsid w:val="00AD1935"/>
    <w:rsid w:val="00AD1B0A"/>
    <w:rsid w:val="00AD3021"/>
    <w:rsid w:val="00AD3FB3"/>
    <w:rsid w:val="00AE4773"/>
    <w:rsid w:val="00AE76E0"/>
    <w:rsid w:val="00AF44BF"/>
    <w:rsid w:val="00B064B6"/>
    <w:rsid w:val="00B212C0"/>
    <w:rsid w:val="00B276A2"/>
    <w:rsid w:val="00B32D92"/>
    <w:rsid w:val="00B36151"/>
    <w:rsid w:val="00B51D50"/>
    <w:rsid w:val="00B63612"/>
    <w:rsid w:val="00B63C88"/>
    <w:rsid w:val="00B77F32"/>
    <w:rsid w:val="00B83017"/>
    <w:rsid w:val="00B8724A"/>
    <w:rsid w:val="00B90822"/>
    <w:rsid w:val="00B91B0E"/>
    <w:rsid w:val="00B92E75"/>
    <w:rsid w:val="00BA6226"/>
    <w:rsid w:val="00BB5E87"/>
    <w:rsid w:val="00BC2583"/>
    <w:rsid w:val="00BE0B5A"/>
    <w:rsid w:val="00BF424E"/>
    <w:rsid w:val="00BF5B9F"/>
    <w:rsid w:val="00C106BD"/>
    <w:rsid w:val="00C1234D"/>
    <w:rsid w:val="00C30A1F"/>
    <w:rsid w:val="00C3517C"/>
    <w:rsid w:val="00C36EF5"/>
    <w:rsid w:val="00C514D3"/>
    <w:rsid w:val="00C56C04"/>
    <w:rsid w:val="00C652FE"/>
    <w:rsid w:val="00C85D6D"/>
    <w:rsid w:val="00C934A2"/>
    <w:rsid w:val="00C947FC"/>
    <w:rsid w:val="00CA0EAF"/>
    <w:rsid w:val="00CC05E4"/>
    <w:rsid w:val="00CC50DB"/>
    <w:rsid w:val="00CD3A60"/>
    <w:rsid w:val="00CE184C"/>
    <w:rsid w:val="00CE585D"/>
    <w:rsid w:val="00CF1CD1"/>
    <w:rsid w:val="00D03FF8"/>
    <w:rsid w:val="00D04794"/>
    <w:rsid w:val="00D10FB7"/>
    <w:rsid w:val="00D15D07"/>
    <w:rsid w:val="00D32D54"/>
    <w:rsid w:val="00D33F6E"/>
    <w:rsid w:val="00D40278"/>
    <w:rsid w:val="00D534FB"/>
    <w:rsid w:val="00D7322B"/>
    <w:rsid w:val="00D763DF"/>
    <w:rsid w:val="00D9799E"/>
    <w:rsid w:val="00DA1A89"/>
    <w:rsid w:val="00DA2503"/>
    <w:rsid w:val="00DB6884"/>
    <w:rsid w:val="00DC53B3"/>
    <w:rsid w:val="00DD3441"/>
    <w:rsid w:val="00DE1EF4"/>
    <w:rsid w:val="00DE3C73"/>
    <w:rsid w:val="00DE6A51"/>
    <w:rsid w:val="00DF1408"/>
    <w:rsid w:val="00DF154A"/>
    <w:rsid w:val="00DF5501"/>
    <w:rsid w:val="00E0668B"/>
    <w:rsid w:val="00E14594"/>
    <w:rsid w:val="00E21378"/>
    <w:rsid w:val="00E316FC"/>
    <w:rsid w:val="00E33B8B"/>
    <w:rsid w:val="00E37A8E"/>
    <w:rsid w:val="00E4241C"/>
    <w:rsid w:val="00E450E1"/>
    <w:rsid w:val="00E4576C"/>
    <w:rsid w:val="00E46EAA"/>
    <w:rsid w:val="00E716D0"/>
    <w:rsid w:val="00E74AAF"/>
    <w:rsid w:val="00E7643E"/>
    <w:rsid w:val="00E83A98"/>
    <w:rsid w:val="00E86336"/>
    <w:rsid w:val="00E864F2"/>
    <w:rsid w:val="00E97FF4"/>
    <w:rsid w:val="00EA15A8"/>
    <w:rsid w:val="00EB1CB1"/>
    <w:rsid w:val="00EC4287"/>
    <w:rsid w:val="00EC6E1F"/>
    <w:rsid w:val="00ED1302"/>
    <w:rsid w:val="00F049B0"/>
    <w:rsid w:val="00F05502"/>
    <w:rsid w:val="00F06D95"/>
    <w:rsid w:val="00F3424F"/>
    <w:rsid w:val="00F74E2D"/>
    <w:rsid w:val="00F74FDC"/>
    <w:rsid w:val="00F839B2"/>
    <w:rsid w:val="00F9429D"/>
    <w:rsid w:val="00F9674F"/>
    <w:rsid w:val="00F96CA0"/>
    <w:rsid w:val="00FC64EE"/>
    <w:rsid w:val="00FE0628"/>
    <w:rsid w:val="00FF31D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BF9E82"/>
  <w15:docId w15:val="{A4DF453A-B1E1-2249-9EE1-957987887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eutscheBank" w:eastAsia="Times New Roman" w:hAnsi="DeutscheBank"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875CD"/>
  </w:style>
  <w:style w:type="paragraph" w:styleId="berschrift1">
    <w:name w:val="heading 1"/>
    <w:basedOn w:val="Standard"/>
    <w:next w:val="Standard"/>
    <w:qFormat/>
    <w:rsid w:val="00990D55"/>
    <w:pPr>
      <w:keepNext/>
      <w:spacing w:before="320" w:after="320" w:line="320" w:lineRule="exact"/>
      <w:outlineLvl w:val="0"/>
    </w:pPr>
    <w:rPr>
      <w:rFonts w:asciiTheme="majorHAnsi" w:hAnsiTheme="majorHAnsi" w:cs="Arial"/>
      <w:b/>
      <w:bCs/>
      <w:color w:val="FD5000" w:themeColor="accent1"/>
      <w:sz w:val="32"/>
    </w:rPr>
  </w:style>
  <w:style w:type="paragraph" w:styleId="berschrift2">
    <w:name w:val="heading 2"/>
    <w:basedOn w:val="berschrift1"/>
    <w:next w:val="Standard"/>
    <w:qFormat/>
    <w:rsid w:val="00990D55"/>
    <w:pPr>
      <w:outlineLvl w:val="1"/>
    </w:pPr>
    <w:rPr>
      <w:b w:val="0"/>
      <w:bCs w:val="0"/>
      <w:iCs/>
      <w:color w:val="7DE0C3" w:themeColor="accent2"/>
    </w:rPr>
  </w:style>
  <w:style w:type="paragraph" w:styleId="berschrift3">
    <w:name w:val="heading 3"/>
    <w:basedOn w:val="berschrift1"/>
    <w:next w:val="Standard"/>
    <w:qFormat/>
    <w:rsid w:val="00990D55"/>
    <w:pPr>
      <w:spacing w:before="280" w:after="280" w:line="240" w:lineRule="auto"/>
      <w:outlineLvl w:val="2"/>
    </w:pPr>
    <w:rPr>
      <w:b w:val="0"/>
      <w:bCs w:val="0"/>
      <w:color w:val="596675" w:themeColor="text2"/>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dresse">
    <w:name w:val="Adresse"/>
    <w:basedOn w:val="Standard"/>
    <w:rsid w:val="00572D99"/>
    <w:pPr>
      <w:framePr w:w="4536" w:h="1641" w:hRule="exact" w:hSpace="142" w:wrap="notBeside" w:vAnchor="page" w:hAnchor="page" w:x="1362" w:y="2859" w:anchorLock="1"/>
    </w:pPr>
    <w:rPr>
      <w:rFonts w:cs="Arial"/>
    </w:rPr>
  </w:style>
  <w:style w:type="paragraph" w:styleId="Kopfzeile">
    <w:name w:val="header"/>
    <w:basedOn w:val="Standard"/>
    <w:link w:val="KopfzeileZchn"/>
    <w:rsid w:val="0011130C"/>
    <w:pPr>
      <w:tabs>
        <w:tab w:val="center" w:pos="4536"/>
        <w:tab w:val="right" w:pos="9072"/>
      </w:tabs>
    </w:pPr>
  </w:style>
  <w:style w:type="paragraph" w:styleId="Fuzeile">
    <w:name w:val="footer"/>
    <w:basedOn w:val="Standard"/>
    <w:link w:val="FuzeileZchn"/>
    <w:rsid w:val="00B276A2"/>
    <w:pPr>
      <w:tabs>
        <w:tab w:val="left" w:pos="357"/>
      </w:tabs>
      <w:suppressAutoHyphens/>
      <w:spacing w:line="150" w:lineRule="exact"/>
    </w:pPr>
    <w:rPr>
      <w:rFonts w:cs="Arial"/>
      <w:noProof/>
      <w:sz w:val="12"/>
      <w:szCs w:val="12"/>
    </w:rPr>
  </w:style>
  <w:style w:type="paragraph" w:customStyle="1" w:styleId="Marginalie">
    <w:name w:val="Marginalie"/>
    <w:basedOn w:val="Standard"/>
    <w:rsid w:val="0011130C"/>
    <w:pPr>
      <w:framePr w:w="4309" w:h="3062" w:hRule="exact" w:hSpace="142" w:wrap="around" w:vAnchor="page" w:hAnchor="page" w:x="7202" w:y="2348" w:anchorLock="1"/>
      <w:tabs>
        <w:tab w:val="center" w:pos="4536"/>
        <w:tab w:val="right" w:pos="9072"/>
      </w:tabs>
      <w:spacing w:line="220" w:lineRule="exact"/>
    </w:pPr>
    <w:rPr>
      <w:sz w:val="18"/>
      <w:szCs w:val="18"/>
    </w:rPr>
  </w:style>
  <w:style w:type="character" w:customStyle="1" w:styleId="KopfzeileZchn">
    <w:name w:val="Kopfzeile Zchn"/>
    <w:basedOn w:val="Absatz-Standardschriftart"/>
    <w:link w:val="Kopfzeile"/>
    <w:rsid w:val="0011130C"/>
    <w:rPr>
      <w:rFonts w:ascii="Arial" w:hAnsi="Arial"/>
      <w:sz w:val="21"/>
      <w:szCs w:val="22"/>
    </w:rPr>
  </w:style>
  <w:style w:type="paragraph" w:customStyle="1" w:styleId="MarginaliekleinerZeilenabstand">
    <w:name w:val="Marginalie kleiner Zeilenabstand"/>
    <w:basedOn w:val="Marginalie"/>
    <w:rsid w:val="00111AC3"/>
    <w:pPr>
      <w:framePr w:wrap="around"/>
      <w:spacing w:line="120" w:lineRule="exact"/>
    </w:pPr>
    <w:rPr>
      <w:sz w:val="8"/>
    </w:rPr>
  </w:style>
  <w:style w:type="table" w:styleId="Tabellenraster">
    <w:name w:val="Table Grid"/>
    <w:basedOn w:val="NormaleTabelle"/>
    <w:rsid w:val="00F3424F"/>
    <w:pPr>
      <w:tabs>
        <w:tab w:val="left" w:pos="357"/>
      </w:tabs>
    </w:pPr>
    <w:rPr>
      <w:rFonts w:ascii="CG Times (WN)" w:hAnsi="CG Times (W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enderinformationen">
    <w:name w:val="Absenderinformationen"/>
    <w:basedOn w:val="Standard"/>
    <w:qFormat/>
    <w:rsid w:val="00B276A2"/>
    <w:pPr>
      <w:framePr w:w="3402" w:h="2835" w:hRule="exact" w:wrap="around" w:vAnchor="page" w:hAnchor="page" w:x="7939" w:y="2269" w:anchorLock="1"/>
      <w:tabs>
        <w:tab w:val="left" w:pos="357"/>
      </w:tabs>
      <w:spacing w:after="90"/>
    </w:pPr>
    <w:rPr>
      <w:noProof/>
      <w:color w:val="101920" w:themeColor="text1"/>
      <w:sz w:val="18"/>
      <w:szCs w:val="18"/>
    </w:rPr>
  </w:style>
  <w:style w:type="paragraph" w:customStyle="1" w:styleId="Empfnger">
    <w:name w:val="Empfänger"/>
    <w:basedOn w:val="Standard"/>
    <w:qFormat/>
    <w:rsid w:val="00B276A2"/>
    <w:pPr>
      <w:framePr w:w="4536" w:h="1537" w:hRule="exact" w:wrap="notBeside" w:vAnchor="page" w:hAnchor="page" w:x="1419" w:y="2989" w:anchorLock="1"/>
    </w:pPr>
  </w:style>
  <w:style w:type="paragraph" w:styleId="Sprechblasentext">
    <w:name w:val="Balloon Text"/>
    <w:basedOn w:val="Standard"/>
    <w:link w:val="SprechblasentextZchn"/>
    <w:rsid w:val="00990D55"/>
    <w:rPr>
      <w:rFonts w:cs="Tahoma"/>
      <w:sz w:val="16"/>
      <w:szCs w:val="16"/>
    </w:rPr>
  </w:style>
  <w:style w:type="character" w:customStyle="1" w:styleId="SprechblasentextZchn">
    <w:name w:val="Sprechblasentext Zchn"/>
    <w:basedOn w:val="Absatz-Standardschriftart"/>
    <w:link w:val="Sprechblasentext"/>
    <w:rsid w:val="00990D55"/>
    <w:rPr>
      <w:rFonts w:asciiTheme="minorHAnsi" w:hAnsiTheme="minorHAnsi" w:cs="Tahoma"/>
      <w:sz w:val="16"/>
      <w:szCs w:val="16"/>
    </w:rPr>
  </w:style>
  <w:style w:type="character" w:customStyle="1" w:styleId="FuzeileZchn">
    <w:name w:val="Fußzeile Zchn"/>
    <w:basedOn w:val="Absatz-Standardschriftart"/>
    <w:link w:val="Fuzeile"/>
    <w:rsid w:val="00B276A2"/>
    <w:rPr>
      <w:rFonts w:asciiTheme="minorHAnsi" w:hAnsiTheme="minorHAnsi" w:cs="Arial"/>
      <w:noProof/>
      <w:sz w:val="12"/>
      <w:szCs w:val="12"/>
    </w:rPr>
  </w:style>
  <w:style w:type="character" w:styleId="Hyperlink">
    <w:name w:val="Hyperlink"/>
    <w:basedOn w:val="Absatz-Standardschriftart"/>
    <w:unhideWhenUsed/>
    <w:rsid w:val="003875CD"/>
    <w:rPr>
      <w:color w:val="0069B1"/>
      <w:u w:val="none"/>
    </w:rPr>
  </w:style>
  <w:style w:type="paragraph" w:customStyle="1" w:styleId="Flietext">
    <w:name w:val="Fließtext"/>
    <w:basedOn w:val="Standard"/>
    <w:qFormat/>
    <w:rsid w:val="00A35336"/>
    <w:pPr>
      <w:tabs>
        <w:tab w:val="left" w:pos="6521"/>
      </w:tabs>
      <w:autoSpaceDE w:val="0"/>
      <w:autoSpaceDN w:val="0"/>
      <w:adjustRightInd w:val="0"/>
    </w:pPr>
    <w:rPr>
      <w:rFonts w:cs="Arial"/>
      <w:color w:val="000000"/>
    </w:rPr>
  </w:style>
  <w:style w:type="paragraph" w:customStyle="1" w:styleId="Identifier">
    <w:name w:val="Identifier"/>
    <w:basedOn w:val="Standard"/>
    <w:qFormat/>
    <w:rsid w:val="003875CD"/>
    <w:pPr>
      <w:spacing w:line="240" w:lineRule="exact"/>
    </w:pPr>
    <w:rPr>
      <w:rFonts w:asciiTheme="majorHAnsi" w:hAnsiTheme="majorHAnsi"/>
      <w:noProof/>
      <w:color w:val="FD5000" w:themeColor="accent1"/>
      <w:sz w:val="24"/>
      <w:szCs w:val="24"/>
    </w:rPr>
  </w:style>
  <w:style w:type="character" w:customStyle="1" w:styleId="FuzeileZchn1">
    <w:name w:val="Fußzeile Zchn1"/>
    <w:basedOn w:val="Absatz-Standardschriftart"/>
    <w:semiHidden/>
    <w:rsid w:val="00026DC6"/>
    <w:rPr>
      <w:rFonts w:ascii="Deutsche Bank Text" w:hAnsi="Deutsche Bank Text"/>
      <w:sz w:val="21"/>
      <w:szCs w:val="22"/>
    </w:rPr>
  </w:style>
  <w:style w:type="character" w:styleId="NichtaufgelsteErwhnung">
    <w:name w:val="Unresolved Mention"/>
    <w:basedOn w:val="Absatz-Standardschriftart"/>
    <w:uiPriority w:val="99"/>
    <w:semiHidden/>
    <w:unhideWhenUsed/>
    <w:rsid w:val="00DF154A"/>
    <w:rPr>
      <w:color w:val="605E5C"/>
      <w:shd w:val="clear" w:color="auto" w:fill="E1DFDD"/>
    </w:rPr>
  </w:style>
  <w:style w:type="character" w:customStyle="1" w:styleId="Bold">
    <w:name w:val="Bold"/>
    <w:basedOn w:val="Absatz-Standardschriftart"/>
    <w:uiPriority w:val="1"/>
    <w:qFormat/>
    <w:rsid w:val="00A35336"/>
    <w:rPr>
      <w:b/>
      <w:bCs/>
    </w:rPr>
  </w:style>
  <w:style w:type="character" w:styleId="BesuchterLink">
    <w:name w:val="FollowedHyperlink"/>
    <w:basedOn w:val="Absatz-Standardschriftart"/>
    <w:semiHidden/>
    <w:unhideWhenUsed/>
    <w:rsid w:val="001C2D1F"/>
    <w:rPr>
      <w:color w:val="101920" w:themeColor="followedHyperlink"/>
      <w:u w:val="single"/>
    </w:rPr>
  </w:style>
  <w:style w:type="paragraph" w:styleId="Listenabsatz">
    <w:name w:val="List Paragraph"/>
    <w:basedOn w:val="Standard"/>
    <w:uiPriority w:val="34"/>
    <w:qFormat/>
    <w:rsid w:val="001C2D1F"/>
    <w:pPr>
      <w:ind w:left="720"/>
      <w:contextualSpacing/>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6756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hristian-a.jacobs@norisbank.d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orisbank.de/ueber-uns/norisbank/auszeichnungen.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orisbank.d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db24-bright-2025-01">
  <a:themeElements>
    <a:clrScheme name="NOB NEW DESIGN">
      <a:dk1>
        <a:srgbClr val="101920"/>
      </a:dk1>
      <a:lt1>
        <a:srgbClr val="FFFFFF"/>
      </a:lt1>
      <a:dk2>
        <a:srgbClr val="596675"/>
      </a:dk2>
      <a:lt2>
        <a:srgbClr val="DAE2ED"/>
      </a:lt2>
      <a:accent1>
        <a:srgbClr val="FD5000"/>
      </a:accent1>
      <a:accent2>
        <a:srgbClr val="7DE0C3"/>
      </a:accent2>
      <a:accent3>
        <a:srgbClr val="6C85AE"/>
      </a:accent3>
      <a:accent4>
        <a:srgbClr val="9DAEC9"/>
      </a:accent4>
      <a:accent5>
        <a:srgbClr val="CED6E4"/>
      </a:accent5>
      <a:accent6>
        <a:srgbClr val="E7EBF2"/>
      </a:accent6>
      <a:hlink>
        <a:srgbClr val="101920"/>
      </a:hlink>
      <a:folHlink>
        <a:srgbClr val="101920"/>
      </a:folHlink>
    </a:clrScheme>
    <a:fontScheme name="Deutsche Bank 2024 09">
      <a:majorFont>
        <a:latin typeface="DeutscheBank"/>
        <a:ea typeface="MS PGothic"/>
        <a:cs typeface=""/>
      </a:majorFont>
      <a:minorFont>
        <a:latin typeface="DeutscheBan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txDef>
      <a:spPr>
        <a:noFill/>
      </a:spPr>
      <a:bodyPr wrap="none" lIns="0" tIns="0" rIns="0" bIns="0" rtlCol="0">
        <a:spAutoFit/>
      </a:bodyPr>
      <a:lstStyle>
        <a:defPPr algn="l">
          <a:defRPr sz="1400" dirty="0" smtClean="0"/>
        </a:defPPr>
      </a:lstStyle>
    </a:txDef>
  </a:objectDefaults>
  <a:extraClrSchemeLst/>
  <a:custClrLst>
    <a:custClr name="Deep Blue">
      <a:srgbClr val="1E2A78"/>
    </a:custClr>
    <a:custClr name="Dark Blue">
      <a:srgbClr val="16184E"/>
    </a:custClr>
    <a:custClr name="Mid Blue">
      <a:srgbClr val="0069B1"/>
    </a:custClr>
    <a:custClr name="Bright Blue">
      <a:srgbClr val="34A6DC"/>
    </a:custClr>
    <a:custClr name="Light Blue">
      <a:srgbClr val="CDEBF6"/>
    </a:custClr>
    <a:custClr name="Ice Blue">
      <a:srgbClr val="ECF4FC"/>
    </a:custClr>
    <a:custClr name="Grey">
      <a:srgbClr val="EDF1F7"/>
    </a:custClr>
    <a:custClr name="Light Violet">
      <a:srgbClr val="C18EBD"/>
    </a:custClr>
    <a:custClr name="Rubine Red">
      <a:srgbClr val="D4065D"/>
    </a:custClr>
    <a:custClr name="White">
      <a:srgbClr val="FFFFFF"/>
    </a:custClr>
    <a:custClr name="Turquoise">
      <a:srgbClr val="3BB8B8"/>
    </a:custClr>
    <a:custClr name="Petrol">
      <a:srgbClr val="24778D"/>
    </a:custClr>
    <a:custClr name="Summer Green">
      <a:srgbClr val="25A62D"/>
    </a:custClr>
    <a:custClr name="Spring Green">
      <a:srgbClr val="C9DD03"/>
    </a:custClr>
    <a:custClr name="Autumn Green">
      <a:srgbClr val="A1AC05"/>
    </a:custClr>
    <a:custClr name="Lucent Yellow">
      <a:srgbClr val="FFE600"/>
    </a:custClr>
    <a:custClr name="Sundown Orange">
      <a:srgbClr val="F28011"/>
    </a:custClr>
    <a:custClr name="Night Violet">
      <a:srgbClr val="431661"/>
    </a:custClr>
    <a:custClr name="Bright Red">
      <a:srgbClr val="E7001D"/>
    </a:custClr>
    <a:custClr name="White">
      <a:srgbClr val="FFFFFF"/>
    </a:custClr>
  </a:custClrLst>
  <a:extLst>
    <a:ext uri="{05A4C25C-085E-4340-85A3-A5531E510DB2}">
      <thm15:themeFamily xmlns:thm15="http://schemas.microsoft.com/office/thememl/2012/main" name="db24-bright-2025-01" id="{CE5E6E1F-4E6A-41FC-A1CC-BAD2791C7B66}" vid="{7C94FF46-8220-4740-BE68-35FA3E1CCF6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A42797174AA554185A8E18B988AF377" ma:contentTypeVersion="4" ma:contentTypeDescription="Ein neues Dokument erstellen." ma:contentTypeScope="" ma:versionID="37f06ef6e7bac2a6fa7e88412c808d4d">
  <xsd:schema xmlns:xsd="http://www.w3.org/2001/XMLSchema" xmlns:xs="http://www.w3.org/2001/XMLSchema" xmlns:p="http://schemas.microsoft.com/office/2006/metadata/properties" xmlns:ns2="106a9a59-f7c9-45eb-a9d4-e1ad0a56d528" targetNamespace="http://schemas.microsoft.com/office/2006/metadata/properties" ma:root="true" ma:fieldsID="b6415839c8c38fdf1b7d643d1b6eede3" ns2:_="">
    <xsd:import namespace="106a9a59-f7c9-45eb-a9d4-e1ad0a56d5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6a9a59-f7c9-45eb-a9d4-e1ad0a56d5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AC5FF5-B50F-40BF-A1C0-8BAAE99829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6a9a59-f7c9-45eb-a9d4-e1ad0a56d5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3183DF-9AC3-491E-9CA8-4038166B1C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EAA3841-B27E-4519-860E-FE4A527010C8}">
  <ds:schemaRefs>
    <ds:schemaRef ds:uri="http://schemas.openxmlformats.org/officeDocument/2006/bibliography"/>
  </ds:schemaRefs>
</ds:datastoreItem>
</file>

<file path=customXml/itemProps4.xml><?xml version="1.0" encoding="utf-8"?>
<ds:datastoreItem xmlns:ds="http://schemas.openxmlformats.org/officeDocument/2006/customXml" ds:itemID="{B6F01A2C-EE67-43E0-B31B-81E294EF76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956</Words>
  <Characters>5948</Characters>
  <Application>Microsoft Office Word</Application>
  <DocSecurity>0</DocSecurity>
  <Lines>110</Lines>
  <Paragraphs>32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Deutsche Bank AG deutsch</vt:lpstr>
      <vt:lpstr>Briefvorlage Deutsche Bank AG deutsch</vt:lpstr>
    </vt:vector>
  </TitlesOfParts>
  <Company>Deutsche Bank AG</Company>
  <LinksUpToDate>false</LinksUpToDate>
  <CharactersWithSpaces>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Deutsche Bank AG deutsch</dc:title>
  <dc:subject>[Betreff]</dc:subject>
  <dc:creator>[Brieftext]</dc:creator>
  <cp:keywords/>
  <dc:description/>
  <cp:lastModifiedBy>Christian-A Jacobs</cp:lastModifiedBy>
  <cp:revision>3</cp:revision>
  <cp:lastPrinted>2026-01-20T07:24:00Z</cp:lastPrinted>
  <dcterms:created xsi:type="dcterms:W3CDTF">2026-01-28T16:11:00Z</dcterms:created>
  <dcterms:modified xsi:type="dcterms:W3CDTF">2026-01-28T16:11:00Z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XXK</vt:lpwstr>
  </property>
  <property fmtid="{D5CDD505-2E9C-101B-9397-08002B2CF9AE}" pid="3" name="ContentTypeId">
    <vt:lpwstr>0x0101007A42797174AA554185A8E18B988AF377</vt:lpwstr>
  </property>
  <property fmtid="{D5CDD505-2E9C-101B-9397-08002B2CF9AE}" pid="4" name="MSIP_Label_1b7f8449-e5d3-4eba-8da7-ffd6ca5bf3e9_Enabled">
    <vt:lpwstr>true</vt:lpwstr>
  </property>
  <property fmtid="{D5CDD505-2E9C-101B-9397-08002B2CF9AE}" pid="5" name="MSIP_Label_1b7f8449-e5d3-4eba-8da7-ffd6ca5bf3e9_SetDate">
    <vt:lpwstr>2026-01-28T16:11:17Z</vt:lpwstr>
  </property>
  <property fmtid="{D5CDD505-2E9C-101B-9397-08002B2CF9AE}" pid="6" name="MSIP_Label_1b7f8449-e5d3-4eba-8da7-ffd6ca5bf3e9_Method">
    <vt:lpwstr>Privileged</vt:lpwstr>
  </property>
  <property fmtid="{D5CDD505-2E9C-101B-9397-08002B2CF9AE}" pid="7" name="MSIP_Label_1b7f8449-e5d3-4eba-8da7-ffd6ca5bf3e9_Name">
    <vt:lpwstr>1b7f8449-e5d3-4eba-8da7-ffd6ca5bf3e9</vt:lpwstr>
  </property>
  <property fmtid="{D5CDD505-2E9C-101B-9397-08002B2CF9AE}" pid="8" name="MSIP_Label_1b7f8449-e5d3-4eba-8da7-ffd6ca5bf3e9_SiteId">
    <vt:lpwstr>1e9b61e8-e590-4abc-b1af-24125e330d2a</vt:lpwstr>
  </property>
  <property fmtid="{D5CDD505-2E9C-101B-9397-08002B2CF9AE}" pid="9" name="MSIP_Label_1b7f8449-e5d3-4eba-8da7-ffd6ca5bf3e9_ActionId">
    <vt:lpwstr>e53b724b-9b0c-421f-b4c1-b809432729d6</vt:lpwstr>
  </property>
  <property fmtid="{D5CDD505-2E9C-101B-9397-08002B2CF9AE}" pid="10" name="MSIP_Label_1b7f8449-e5d3-4eba-8da7-ffd6ca5bf3e9_ContentBits">
    <vt:lpwstr>0</vt:lpwstr>
  </property>
  <property fmtid="{D5CDD505-2E9C-101B-9397-08002B2CF9AE}" pid="11" name="MSIP_Label_1b7f8449-e5d3-4eba-8da7-ffd6ca5bf3e9_Tag">
    <vt:lpwstr>10, 0, 1, 1</vt:lpwstr>
  </property>
</Properties>
</file>