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81D4" w14:textId="77777777" w:rsidR="001C2D1F" w:rsidRPr="003237B7" w:rsidRDefault="001C2D1F" w:rsidP="001C2D1F">
      <w:pPr>
        <w:rPr>
          <w:rFonts w:ascii="Arial" w:hAnsi="Arial" w:cs="Arial"/>
          <w:b/>
          <w:color w:val="101920" w:themeColor="text1"/>
          <w:sz w:val="48"/>
          <w:szCs w:val="48"/>
        </w:rPr>
      </w:pPr>
      <w:r w:rsidRPr="003237B7">
        <w:rPr>
          <w:rFonts w:ascii="Arial" w:hAnsi="Arial" w:cs="Arial"/>
          <w:b/>
          <w:color w:val="101920" w:themeColor="text1"/>
          <w:sz w:val="48"/>
          <w:szCs w:val="48"/>
        </w:rPr>
        <w:t>Pressemitteilung</w:t>
      </w:r>
    </w:p>
    <w:p w14:paraId="2DFE6D20" w14:textId="0AB57B4A" w:rsidR="003237B7" w:rsidRPr="00013566" w:rsidRDefault="00E3287A" w:rsidP="003237B7">
      <w:pPr>
        <w:rPr>
          <w:rFonts w:ascii="Arial" w:hAnsi="Arial" w:cs="Arial"/>
          <w:bCs/>
          <w:sz w:val="22"/>
          <w:szCs w:val="22"/>
        </w:rPr>
      </w:pPr>
      <w:r>
        <w:rPr>
          <w:rFonts w:ascii="Arial" w:hAnsi="Arial" w:cs="Arial"/>
          <w:bCs/>
          <w:sz w:val="22"/>
          <w:szCs w:val="22"/>
        </w:rPr>
        <w:t>26</w:t>
      </w:r>
      <w:r w:rsidR="003237B7">
        <w:rPr>
          <w:rFonts w:ascii="Arial" w:hAnsi="Arial" w:cs="Arial"/>
          <w:bCs/>
          <w:sz w:val="22"/>
          <w:szCs w:val="22"/>
        </w:rPr>
        <w:t xml:space="preserve">. </w:t>
      </w:r>
      <w:r w:rsidR="00400F23">
        <w:rPr>
          <w:rFonts w:ascii="Arial" w:hAnsi="Arial" w:cs="Arial"/>
          <w:bCs/>
          <w:sz w:val="22"/>
          <w:szCs w:val="22"/>
        </w:rPr>
        <w:t>März</w:t>
      </w:r>
      <w:r w:rsidR="003237B7">
        <w:rPr>
          <w:rFonts w:ascii="Arial" w:hAnsi="Arial" w:cs="Arial"/>
          <w:bCs/>
          <w:sz w:val="22"/>
          <w:szCs w:val="22"/>
        </w:rPr>
        <w:t xml:space="preserve"> 2026</w:t>
      </w:r>
    </w:p>
    <w:p w14:paraId="14AD39E5" w14:textId="77777777" w:rsidR="003237B7" w:rsidRPr="004F20E4" w:rsidRDefault="003237B7" w:rsidP="003237B7">
      <w:pPr>
        <w:rPr>
          <w:rFonts w:ascii="Arial" w:hAnsi="Arial" w:cs="Arial"/>
          <w:b/>
          <w:color w:val="6B6B6B"/>
        </w:rPr>
      </w:pPr>
    </w:p>
    <w:p w14:paraId="6756ECD2" w14:textId="54DE578C" w:rsidR="00E21965" w:rsidRDefault="00E3287A" w:rsidP="003237B7">
      <w:pPr>
        <w:rPr>
          <w:rFonts w:ascii="Arial" w:hAnsi="Arial" w:cs="Arial"/>
          <w:b/>
          <w:color w:val="FD5000"/>
          <w:sz w:val="32"/>
          <w:szCs w:val="32"/>
        </w:rPr>
      </w:pPr>
      <w:r w:rsidRPr="00E3287A">
        <w:rPr>
          <w:rFonts w:ascii="Arial" w:hAnsi="Arial" w:cs="Arial"/>
          <w:b/>
          <w:color w:val="FD5000"/>
          <w:sz w:val="32"/>
          <w:szCs w:val="32"/>
        </w:rPr>
        <w:t>Direkt zur Bank per App</w:t>
      </w:r>
    </w:p>
    <w:p w14:paraId="398A811D" w14:textId="221D60CB" w:rsidR="00F8095A" w:rsidRDefault="003C0B37" w:rsidP="002B7E3A">
      <w:pPr>
        <w:rPr>
          <w:rFonts w:ascii="Arial" w:hAnsi="Arial" w:cs="Arial"/>
          <w:sz w:val="32"/>
          <w:szCs w:val="32"/>
        </w:rPr>
      </w:pPr>
      <w:r w:rsidRPr="003C0B37">
        <w:rPr>
          <w:rFonts w:ascii="Arial" w:hAnsi="Arial" w:cs="Arial"/>
          <w:sz w:val="32"/>
          <w:szCs w:val="32"/>
        </w:rPr>
        <w:t>Warum immer mehr Deutsche Direktbanken nutzen und was ihnen dabei wichtig ist</w:t>
      </w:r>
    </w:p>
    <w:p w14:paraId="4AC23C4D" w14:textId="77777777" w:rsidR="00E21965" w:rsidRPr="00B829A1" w:rsidRDefault="00E21965" w:rsidP="003237B7">
      <w:pPr>
        <w:rPr>
          <w:rFonts w:ascii="Arial" w:hAnsi="Arial" w:cs="Arial"/>
          <w:sz w:val="32"/>
          <w:szCs w:val="32"/>
        </w:rPr>
      </w:pPr>
    </w:p>
    <w:p w14:paraId="3D330E3D" w14:textId="77777777" w:rsidR="00273B34" w:rsidRPr="00273B34" w:rsidRDefault="00273B34" w:rsidP="00273B34">
      <w:pPr>
        <w:pStyle w:val="Listenabsatz"/>
        <w:numPr>
          <w:ilvl w:val="0"/>
          <w:numId w:val="8"/>
        </w:numPr>
        <w:spacing w:line="360" w:lineRule="auto"/>
        <w:rPr>
          <w:rFonts w:ascii="Arial" w:hAnsi="Arial" w:cs="Arial"/>
        </w:rPr>
      </w:pPr>
      <w:r w:rsidRPr="00273B34">
        <w:rPr>
          <w:rFonts w:ascii="Arial" w:hAnsi="Arial" w:cs="Arial"/>
        </w:rPr>
        <w:t>Mehr als die Hälfte der Deutschen erledigt Bankgeschäfte vollständig digital</w:t>
      </w:r>
    </w:p>
    <w:p w14:paraId="6AB60922" w14:textId="77777777" w:rsidR="00273B34" w:rsidRPr="00273B34" w:rsidRDefault="00273B34" w:rsidP="00273B34">
      <w:pPr>
        <w:pStyle w:val="Listenabsatz"/>
        <w:numPr>
          <w:ilvl w:val="0"/>
          <w:numId w:val="8"/>
        </w:numPr>
        <w:spacing w:line="360" w:lineRule="auto"/>
        <w:rPr>
          <w:rFonts w:ascii="Arial" w:hAnsi="Arial" w:cs="Arial"/>
        </w:rPr>
      </w:pPr>
      <w:r w:rsidRPr="00273B34">
        <w:rPr>
          <w:rFonts w:ascii="Arial" w:hAnsi="Arial" w:cs="Arial"/>
        </w:rPr>
        <w:t>Direktbanken gewinnen als Hauptbank an Bedeutung</w:t>
      </w:r>
    </w:p>
    <w:p w14:paraId="012EBF6C" w14:textId="6489486C" w:rsidR="00E21965" w:rsidRDefault="00273B34" w:rsidP="00273B34">
      <w:pPr>
        <w:pStyle w:val="Listenabsatz"/>
        <w:numPr>
          <w:ilvl w:val="0"/>
          <w:numId w:val="8"/>
        </w:numPr>
        <w:spacing w:line="360" w:lineRule="auto"/>
        <w:rPr>
          <w:rFonts w:ascii="Arial" w:hAnsi="Arial" w:cs="Arial"/>
        </w:rPr>
      </w:pPr>
      <w:r w:rsidRPr="00273B34">
        <w:rPr>
          <w:rFonts w:ascii="Arial" w:hAnsi="Arial" w:cs="Arial"/>
        </w:rPr>
        <w:t>Wechselgründe: weniger Kosten, moderne Services und Flexibilität</w:t>
      </w:r>
    </w:p>
    <w:p w14:paraId="31C87578" w14:textId="77777777" w:rsidR="00F8095A" w:rsidRPr="003A1588" w:rsidRDefault="00F8095A" w:rsidP="00F8095A">
      <w:pPr>
        <w:pStyle w:val="Listenabsatz"/>
        <w:spacing w:line="360" w:lineRule="auto"/>
        <w:rPr>
          <w:rFonts w:ascii="Arial" w:hAnsi="Arial" w:cs="Arial"/>
          <w:sz w:val="18"/>
          <w:szCs w:val="18"/>
          <w:lang w:eastAsia="ja-JP"/>
        </w:rPr>
      </w:pPr>
    </w:p>
    <w:p w14:paraId="724F47D2" w14:textId="7DA6000F" w:rsidR="00F8095A" w:rsidRDefault="00F8095A" w:rsidP="00F8095A">
      <w:pPr>
        <w:spacing w:line="360" w:lineRule="auto"/>
        <w:rPr>
          <w:rFonts w:ascii="Arial" w:hAnsi="Arial" w:cs="Arial"/>
          <w:b/>
          <w:bCs/>
          <w:sz w:val="18"/>
          <w:szCs w:val="18"/>
          <w:lang w:eastAsia="ja-JP"/>
        </w:rPr>
      </w:pPr>
      <w:r w:rsidRPr="000605AC">
        <w:rPr>
          <w:rFonts w:ascii="Arial" w:hAnsi="Arial" w:cs="Arial"/>
          <w:b/>
          <w:bCs/>
          <w:sz w:val="18"/>
          <w:szCs w:val="18"/>
          <w:lang w:eastAsia="ja-JP"/>
        </w:rPr>
        <w:t xml:space="preserve">Bonn, </w:t>
      </w:r>
      <w:r w:rsidR="00273B34">
        <w:rPr>
          <w:rFonts w:ascii="Arial" w:hAnsi="Arial" w:cs="Arial"/>
          <w:b/>
          <w:bCs/>
          <w:sz w:val="18"/>
          <w:szCs w:val="18"/>
          <w:lang w:eastAsia="ja-JP"/>
        </w:rPr>
        <w:t>26</w:t>
      </w:r>
      <w:r w:rsidR="00012C05">
        <w:rPr>
          <w:rFonts w:ascii="Arial" w:hAnsi="Arial" w:cs="Arial"/>
          <w:b/>
          <w:bCs/>
          <w:sz w:val="18"/>
          <w:szCs w:val="18"/>
          <w:lang w:eastAsia="ja-JP"/>
        </w:rPr>
        <w:t>.</w:t>
      </w:r>
      <w:r w:rsidR="008A3A96">
        <w:rPr>
          <w:rFonts w:ascii="Arial" w:hAnsi="Arial" w:cs="Arial"/>
          <w:b/>
          <w:bCs/>
          <w:sz w:val="18"/>
          <w:szCs w:val="18"/>
          <w:lang w:eastAsia="ja-JP"/>
        </w:rPr>
        <w:t>3</w:t>
      </w:r>
      <w:r w:rsidR="00012C05">
        <w:rPr>
          <w:rFonts w:ascii="Arial" w:hAnsi="Arial" w:cs="Arial"/>
          <w:b/>
          <w:bCs/>
          <w:sz w:val="18"/>
          <w:szCs w:val="18"/>
          <w:lang w:eastAsia="ja-JP"/>
        </w:rPr>
        <w:t>.2026</w:t>
      </w:r>
      <w:r w:rsidRPr="000605AC">
        <w:rPr>
          <w:rFonts w:ascii="Arial" w:hAnsi="Arial" w:cs="Arial"/>
          <w:b/>
          <w:bCs/>
          <w:sz w:val="18"/>
          <w:szCs w:val="18"/>
          <w:lang w:eastAsia="ja-JP"/>
        </w:rPr>
        <w:t xml:space="preserve"> | </w:t>
      </w:r>
      <w:r w:rsidR="00793208" w:rsidRPr="00793208">
        <w:rPr>
          <w:rFonts w:ascii="Arial" w:hAnsi="Arial" w:cs="Arial"/>
          <w:b/>
          <w:bCs/>
          <w:sz w:val="18"/>
          <w:szCs w:val="18"/>
          <w:lang w:eastAsia="ja-JP"/>
        </w:rPr>
        <w:t>Bankgeschäfte vom Sofa aus statt am Schalter erledigen? Für viele ist das längst Alltag. Der Trend zur Direktbank ist nicht neu. Aktuell nimmt er jedoch noch einmal Fahrt auf, wie die repräsentative Umfrage der norisbank zeigt. Mittlerweile erledigen 55,6 Prozent der Deutschen ihre Finanzangelegenheiten ganz selbstverständlich digital, wann und wo es ihnen gerade passt. Ob Geld überweisen, den Kontostand checken oder einen Kredit abschließen</w:t>
      </w:r>
      <w:r w:rsidR="000E45D9">
        <w:rPr>
          <w:rFonts w:ascii="Arial" w:hAnsi="Arial" w:cs="Arial"/>
          <w:b/>
          <w:bCs/>
          <w:sz w:val="18"/>
          <w:szCs w:val="18"/>
          <w:lang w:eastAsia="ja-JP"/>
        </w:rPr>
        <w:t xml:space="preserve"> –</w:t>
      </w:r>
      <w:r w:rsidR="000E45D9" w:rsidRPr="00793208">
        <w:rPr>
          <w:rFonts w:ascii="Arial" w:hAnsi="Arial" w:cs="Arial"/>
          <w:b/>
          <w:bCs/>
          <w:sz w:val="18"/>
          <w:szCs w:val="18"/>
          <w:lang w:eastAsia="ja-JP"/>
        </w:rPr>
        <w:t xml:space="preserve"> </w:t>
      </w:r>
      <w:r w:rsidR="00793208" w:rsidRPr="00793208">
        <w:rPr>
          <w:rFonts w:ascii="Arial" w:hAnsi="Arial" w:cs="Arial"/>
          <w:b/>
          <w:bCs/>
          <w:sz w:val="18"/>
          <w:szCs w:val="18"/>
          <w:lang w:eastAsia="ja-JP"/>
        </w:rPr>
        <w:t>all das geht heute bequem per App.</w:t>
      </w:r>
    </w:p>
    <w:p w14:paraId="66832B36" w14:textId="77777777" w:rsidR="00F8095A" w:rsidRPr="00936516" w:rsidRDefault="00F8095A" w:rsidP="00F8095A">
      <w:pPr>
        <w:spacing w:line="360" w:lineRule="auto"/>
        <w:rPr>
          <w:rFonts w:ascii="Arial" w:hAnsi="Arial" w:cs="Arial"/>
          <w:b/>
          <w:bCs/>
          <w:sz w:val="18"/>
          <w:szCs w:val="18"/>
          <w:lang w:eastAsia="ja-JP"/>
        </w:rPr>
      </w:pPr>
    </w:p>
    <w:p w14:paraId="1B12FB81" w14:textId="77777777"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Doch was bewegt die Deutschen eigentlich dazu, sich für eine Direktbank zu entscheiden? Wie hat sich das Verhalten über die Jahre verändert? Und wer nutzt digitale Angebote besonders häufig? Ein Blick auf die aktuellen Zahlen zeigt: Die Direktbank ist längst kein Nischenphänomen mehr, sondern für viele mehr als nur eine Alternative.</w:t>
      </w:r>
    </w:p>
    <w:p w14:paraId="42473132" w14:textId="77777777" w:rsidR="009918EC" w:rsidRPr="009918EC" w:rsidRDefault="009918EC" w:rsidP="009918EC">
      <w:pPr>
        <w:spacing w:line="360" w:lineRule="auto"/>
        <w:rPr>
          <w:rFonts w:ascii="Arial" w:hAnsi="Arial" w:cs="Arial"/>
          <w:sz w:val="18"/>
          <w:szCs w:val="18"/>
          <w:lang w:eastAsia="ja-JP"/>
        </w:rPr>
      </w:pPr>
    </w:p>
    <w:p w14:paraId="403720E2" w14:textId="77777777" w:rsidR="009918EC" w:rsidRPr="00535CD6" w:rsidRDefault="009918EC" w:rsidP="009918EC">
      <w:pPr>
        <w:spacing w:line="360" w:lineRule="auto"/>
        <w:rPr>
          <w:rFonts w:ascii="Arial" w:hAnsi="Arial" w:cs="Arial"/>
          <w:b/>
          <w:bCs/>
          <w:sz w:val="18"/>
          <w:szCs w:val="18"/>
          <w:lang w:eastAsia="ja-JP"/>
        </w:rPr>
      </w:pPr>
      <w:r w:rsidRPr="00535CD6">
        <w:rPr>
          <w:rFonts w:ascii="Arial" w:hAnsi="Arial" w:cs="Arial"/>
          <w:b/>
          <w:bCs/>
          <w:sz w:val="18"/>
          <w:szCs w:val="18"/>
          <w:lang w:eastAsia="ja-JP"/>
        </w:rPr>
        <w:t>Immer öfter digital: die Direktbank für das Hauptkonto</w:t>
      </w:r>
    </w:p>
    <w:p w14:paraId="1DF55027" w14:textId="25E2F94A"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Nicht nur zum Sparen oder für das Zweitkonto! Direktbanken gewinnen auch als Hauptbank immer mehr an Bedeutung. Mittlerweile haben fast 30 Prozent der Befragten ihr Gehaltskonto bei einer Direktbank. Das ist der höchste Wert seit drei Jahren mit einem klaren Aufwärtstrend (Jahreswechsel 2024: 27,2 Prozent</w:t>
      </w:r>
      <w:r w:rsidR="00D278BC">
        <w:rPr>
          <w:rFonts w:ascii="Arial" w:hAnsi="Arial" w:cs="Arial"/>
          <w:sz w:val="18"/>
          <w:szCs w:val="18"/>
          <w:lang w:eastAsia="ja-JP"/>
        </w:rPr>
        <w:t>;</w:t>
      </w:r>
      <w:r w:rsidR="00D278BC" w:rsidRPr="009918EC">
        <w:rPr>
          <w:rFonts w:ascii="Arial" w:hAnsi="Arial" w:cs="Arial"/>
          <w:sz w:val="18"/>
          <w:szCs w:val="18"/>
          <w:lang w:eastAsia="ja-JP"/>
        </w:rPr>
        <w:t xml:space="preserve"> </w:t>
      </w:r>
      <w:r w:rsidRPr="009918EC">
        <w:rPr>
          <w:rFonts w:ascii="Arial" w:hAnsi="Arial" w:cs="Arial"/>
          <w:sz w:val="18"/>
          <w:szCs w:val="18"/>
          <w:lang w:eastAsia="ja-JP"/>
        </w:rPr>
        <w:t>2025: 27,</w:t>
      </w:r>
      <w:r w:rsidR="000E45D9" w:rsidRPr="009918EC">
        <w:rPr>
          <w:rFonts w:ascii="Arial" w:hAnsi="Arial" w:cs="Arial"/>
          <w:sz w:val="18"/>
          <w:szCs w:val="18"/>
          <w:lang w:eastAsia="ja-JP"/>
        </w:rPr>
        <w:t>6</w:t>
      </w:r>
      <w:r w:rsidR="000E45D9">
        <w:rPr>
          <w:rFonts w:ascii="Arial" w:hAnsi="Arial" w:cs="Arial"/>
          <w:sz w:val="18"/>
          <w:szCs w:val="18"/>
          <w:lang w:eastAsia="ja-JP"/>
        </w:rPr>
        <w:t> </w:t>
      </w:r>
      <w:r w:rsidRPr="009918EC">
        <w:rPr>
          <w:rFonts w:ascii="Arial" w:hAnsi="Arial" w:cs="Arial"/>
          <w:sz w:val="18"/>
          <w:szCs w:val="18"/>
          <w:lang w:eastAsia="ja-JP"/>
        </w:rPr>
        <w:t>Prozent</w:t>
      </w:r>
      <w:r w:rsidR="00D278BC">
        <w:rPr>
          <w:rFonts w:ascii="Arial" w:hAnsi="Arial" w:cs="Arial"/>
          <w:sz w:val="18"/>
          <w:szCs w:val="18"/>
          <w:lang w:eastAsia="ja-JP"/>
        </w:rPr>
        <w:t>;</w:t>
      </w:r>
      <w:r w:rsidR="00D278BC" w:rsidRPr="009918EC">
        <w:rPr>
          <w:rFonts w:ascii="Arial" w:hAnsi="Arial" w:cs="Arial"/>
          <w:sz w:val="18"/>
          <w:szCs w:val="18"/>
          <w:lang w:eastAsia="ja-JP"/>
        </w:rPr>
        <w:t xml:space="preserve"> </w:t>
      </w:r>
      <w:r w:rsidRPr="009918EC">
        <w:rPr>
          <w:rFonts w:ascii="Arial" w:hAnsi="Arial" w:cs="Arial"/>
          <w:sz w:val="18"/>
          <w:szCs w:val="18"/>
          <w:lang w:eastAsia="ja-JP"/>
        </w:rPr>
        <w:t>2026: 29,8 Prozent).</w:t>
      </w:r>
    </w:p>
    <w:p w14:paraId="671097AC" w14:textId="77777777" w:rsidR="009918EC" w:rsidRPr="009918EC" w:rsidRDefault="009918EC" w:rsidP="009918EC">
      <w:pPr>
        <w:spacing w:line="360" w:lineRule="auto"/>
        <w:rPr>
          <w:rFonts w:ascii="Arial" w:hAnsi="Arial" w:cs="Arial"/>
          <w:sz w:val="18"/>
          <w:szCs w:val="18"/>
          <w:lang w:eastAsia="ja-JP"/>
        </w:rPr>
      </w:pPr>
    </w:p>
    <w:p w14:paraId="02978179" w14:textId="77777777"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Über alle Altersgruppen hinweg zeigt sich, dass Direktbanken immer häufiger die Rolle der Hauptbank übernehmen. Besonders hoch ist der Anteil bei den 30- bis 39-Jährigen. Hier führen 36,3 Prozent ihr Gehaltskonto bei einer Direktbank. Auch bei den 18- bis 29-Jährigen ist die Nutzung mit 34,3 Prozent überdurchschnittlich hoch. In der Altersgruppe 40 plus liegt der Anteil bei 31 Prozent, bei den über 50-Jährigen bei 26,3 Prozent.</w:t>
      </w:r>
    </w:p>
    <w:p w14:paraId="094EA639" w14:textId="77777777" w:rsidR="009918EC" w:rsidRPr="009918EC" w:rsidRDefault="009918EC" w:rsidP="009918EC">
      <w:pPr>
        <w:spacing w:line="360" w:lineRule="auto"/>
        <w:rPr>
          <w:rFonts w:ascii="Arial" w:hAnsi="Arial" w:cs="Arial"/>
          <w:sz w:val="18"/>
          <w:szCs w:val="18"/>
          <w:lang w:eastAsia="ja-JP"/>
        </w:rPr>
      </w:pPr>
    </w:p>
    <w:p w14:paraId="294B9315" w14:textId="77777777"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Für die Deutschen ist klar: Rund-um-die-Uhr-Service, moderne Apps und volle Kontrolle über das eigene Konto passen besser zum Leben als feste Öffnungszeiten und lange Wege. Direktbanken sind damit längst aus der Nische heraus und im Alltag angekommen.</w:t>
      </w:r>
    </w:p>
    <w:p w14:paraId="535643D7" w14:textId="77777777"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 </w:t>
      </w:r>
    </w:p>
    <w:p w14:paraId="2F757B0A" w14:textId="77777777" w:rsidR="009918EC" w:rsidRPr="009918EC" w:rsidRDefault="009918EC" w:rsidP="009918EC">
      <w:pPr>
        <w:spacing w:line="360" w:lineRule="auto"/>
        <w:rPr>
          <w:rFonts w:ascii="Arial" w:hAnsi="Arial" w:cs="Arial"/>
          <w:b/>
          <w:bCs/>
          <w:sz w:val="18"/>
          <w:szCs w:val="18"/>
          <w:lang w:eastAsia="ja-JP"/>
        </w:rPr>
      </w:pPr>
      <w:r w:rsidRPr="009918EC">
        <w:rPr>
          <w:rFonts w:ascii="Arial" w:hAnsi="Arial" w:cs="Arial"/>
          <w:b/>
          <w:bCs/>
          <w:sz w:val="18"/>
          <w:szCs w:val="18"/>
          <w:lang w:eastAsia="ja-JP"/>
        </w:rPr>
        <w:t>Warum sich immer mehr Deutsche für Direktbanken entscheiden</w:t>
      </w:r>
    </w:p>
    <w:p w14:paraId="48FE0E64" w14:textId="318149E1"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Die Gründe für den Wechsel zur Direktbank sind vielfältig, zeigen aber eine deutliche Tendenz. Es geht um mehr Flexibilität, attraktive Leistungen und oft auch um geringere Kosten. 38,7 Prozent der Befragten geben an, mit dem Wechsel Bankgebühren oder Kreditkosten reduzieren zu wollen. Das ist ein Rekordniveau im Vergleich zu 30,</w:t>
      </w:r>
      <w:r w:rsidR="002716DF" w:rsidRPr="009918EC">
        <w:rPr>
          <w:rFonts w:ascii="Arial" w:hAnsi="Arial" w:cs="Arial"/>
          <w:sz w:val="18"/>
          <w:szCs w:val="18"/>
          <w:lang w:eastAsia="ja-JP"/>
        </w:rPr>
        <w:t>9</w:t>
      </w:r>
      <w:r w:rsidR="002716DF">
        <w:rPr>
          <w:rFonts w:ascii="Arial" w:hAnsi="Arial" w:cs="Arial"/>
          <w:sz w:val="18"/>
          <w:szCs w:val="18"/>
          <w:lang w:eastAsia="ja-JP"/>
        </w:rPr>
        <w:t> </w:t>
      </w:r>
      <w:r w:rsidRPr="009918EC">
        <w:rPr>
          <w:rFonts w:ascii="Arial" w:hAnsi="Arial" w:cs="Arial"/>
          <w:sz w:val="18"/>
          <w:szCs w:val="18"/>
          <w:lang w:eastAsia="ja-JP"/>
        </w:rPr>
        <w:t xml:space="preserve">Prozent </w:t>
      </w:r>
      <w:proofErr w:type="gramStart"/>
      <w:r w:rsidR="002716DF">
        <w:rPr>
          <w:rFonts w:ascii="Arial" w:hAnsi="Arial" w:cs="Arial"/>
          <w:sz w:val="18"/>
          <w:szCs w:val="18"/>
          <w:lang w:eastAsia="ja-JP"/>
        </w:rPr>
        <w:t xml:space="preserve">in </w:t>
      </w:r>
      <w:r w:rsidRPr="009918EC">
        <w:rPr>
          <w:rFonts w:ascii="Arial" w:hAnsi="Arial" w:cs="Arial"/>
          <w:sz w:val="18"/>
          <w:szCs w:val="18"/>
          <w:lang w:eastAsia="ja-JP"/>
        </w:rPr>
        <w:t>2025</w:t>
      </w:r>
      <w:proofErr w:type="gramEnd"/>
      <w:r w:rsidRPr="009918EC">
        <w:rPr>
          <w:rFonts w:ascii="Arial" w:hAnsi="Arial" w:cs="Arial"/>
          <w:sz w:val="18"/>
          <w:szCs w:val="18"/>
          <w:lang w:eastAsia="ja-JP"/>
        </w:rPr>
        <w:t xml:space="preserve"> bzw. 31,8 Prozent </w:t>
      </w:r>
      <w:proofErr w:type="gramStart"/>
      <w:r w:rsidR="002716DF">
        <w:rPr>
          <w:rFonts w:ascii="Arial" w:hAnsi="Arial" w:cs="Arial"/>
          <w:sz w:val="18"/>
          <w:szCs w:val="18"/>
          <w:lang w:eastAsia="ja-JP"/>
        </w:rPr>
        <w:t xml:space="preserve">in </w:t>
      </w:r>
      <w:r w:rsidRPr="009918EC">
        <w:rPr>
          <w:rFonts w:ascii="Arial" w:hAnsi="Arial" w:cs="Arial"/>
          <w:sz w:val="18"/>
          <w:szCs w:val="18"/>
          <w:lang w:eastAsia="ja-JP"/>
        </w:rPr>
        <w:t>2024</w:t>
      </w:r>
      <w:proofErr w:type="gramEnd"/>
      <w:r w:rsidRPr="009918EC">
        <w:rPr>
          <w:rFonts w:ascii="Arial" w:hAnsi="Arial" w:cs="Arial"/>
          <w:sz w:val="18"/>
          <w:szCs w:val="18"/>
          <w:lang w:eastAsia="ja-JP"/>
        </w:rPr>
        <w:t>.</w:t>
      </w:r>
    </w:p>
    <w:p w14:paraId="557AF169" w14:textId="77777777" w:rsidR="009918EC" w:rsidRPr="009918EC" w:rsidRDefault="009918EC" w:rsidP="009918EC">
      <w:pPr>
        <w:spacing w:line="360" w:lineRule="auto"/>
        <w:rPr>
          <w:rFonts w:ascii="Arial" w:hAnsi="Arial" w:cs="Arial"/>
          <w:sz w:val="18"/>
          <w:szCs w:val="18"/>
          <w:lang w:eastAsia="ja-JP"/>
        </w:rPr>
      </w:pPr>
    </w:p>
    <w:p w14:paraId="688C363D" w14:textId="6771F7B0"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 xml:space="preserve">Insgesamt nennen 28,8 Prozent besondere Services und innovative Leistungen als Hauptmotiv. Für viele zählt also nicht nur der Preis, sondern </w:t>
      </w:r>
      <w:r w:rsidR="002716DF">
        <w:rPr>
          <w:rFonts w:ascii="Arial" w:hAnsi="Arial" w:cs="Arial"/>
          <w:sz w:val="18"/>
          <w:szCs w:val="18"/>
          <w:lang w:eastAsia="ja-JP"/>
        </w:rPr>
        <w:t xml:space="preserve">auch </w:t>
      </w:r>
      <w:r w:rsidRPr="009918EC">
        <w:rPr>
          <w:rFonts w:ascii="Arial" w:hAnsi="Arial" w:cs="Arial"/>
          <w:sz w:val="18"/>
          <w:szCs w:val="18"/>
          <w:lang w:eastAsia="ja-JP"/>
        </w:rPr>
        <w:t>das digitale Gesamtpaket. Vor allem Jüngere sehen darin klare Vorteile für ihren Alltag. In der Altersgruppe der 18- bis 29-Jährigen wollen 40,7 Prozent gezielt Kosten sparen. Auch bei den 30- bis 39-Jährigen ist dieser Wunsch mit 34,5 Prozent stark ausgeprägt. Den mit 47,4 Prozent höchsten Wert erreicht die Gruppe der 40- bis 49-Jährigen.</w:t>
      </w:r>
    </w:p>
    <w:p w14:paraId="6609ADFB" w14:textId="77777777" w:rsidR="009918EC" w:rsidRPr="009918EC" w:rsidRDefault="009918EC" w:rsidP="009918EC">
      <w:pPr>
        <w:spacing w:line="360" w:lineRule="auto"/>
        <w:rPr>
          <w:rFonts w:ascii="Arial" w:hAnsi="Arial" w:cs="Arial"/>
          <w:sz w:val="18"/>
          <w:szCs w:val="18"/>
          <w:lang w:eastAsia="ja-JP"/>
        </w:rPr>
      </w:pPr>
    </w:p>
    <w:p w14:paraId="1C645EA3" w14:textId="77777777"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 xml:space="preserve">Die Ergebnisse zeigen: Direktbanken sind heute fester Bestandteil des modernen Finanzalltags. Ihre Akzeptanz wächst in allen Altersgruppen. „Die norisbank begleitet diese Entwicklung seit Jahren mit digitalen Services, die flexibel, günstig und alltagstauglich sind und so den Alltag einfacher machen. Als mehrfach ausgezeichnete Direktbank mit vielen digitalen Services zeigen wir, dass modernes Banking und Verlässlichkeit bestens zusammenpassen“, so Thomas Brosch, Geschäftsführer der norisbank GmbH. </w:t>
      </w:r>
    </w:p>
    <w:p w14:paraId="518F4EA2" w14:textId="77777777" w:rsidR="009918EC" w:rsidRPr="009918EC" w:rsidRDefault="009918EC" w:rsidP="009918EC">
      <w:pPr>
        <w:spacing w:line="360" w:lineRule="auto"/>
        <w:rPr>
          <w:rFonts w:ascii="Arial" w:hAnsi="Arial" w:cs="Arial"/>
          <w:sz w:val="18"/>
          <w:szCs w:val="18"/>
          <w:lang w:eastAsia="ja-JP"/>
        </w:rPr>
      </w:pPr>
    </w:p>
    <w:p w14:paraId="01C87845" w14:textId="2A407CDE"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 xml:space="preserve">Auch die Unzufriedenheit mit der bisherigen Bank bleibt ein relevanter Faktor für den Wechsel der Bankverbindung. Dies nannten besonders häufig die 18- bis 29-Jährigen mit 29,6 Prozent. In der Altersgruppe 30+ waren es </w:t>
      </w:r>
      <w:r w:rsidR="006212A2" w:rsidRPr="009918EC">
        <w:rPr>
          <w:rFonts w:ascii="Arial" w:hAnsi="Arial" w:cs="Arial"/>
          <w:sz w:val="18"/>
          <w:szCs w:val="18"/>
          <w:lang w:eastAsia="ja-JP"/>
        </w:rPr>
        <w:t>20</w:t>
      </w:r>
      <w:r w:rsidR="006212A2">
        <w:rPr>
          <w:rFonts w:ascii="Arial" w:hAnsi="Arial" w:cs="Arial"/>
          <w:sz w:val="18"/>
          <w:szCs w:val="18"/>
          <w:lang w:eastAsia="ja-JP"/>
        </w:rPr>
        <w:t> </w:t>
      </w:r>
      <w:r w:rsidRPr="009918EC">
        <w:rPr>
          <w:rFonts w:ascii="Arial" w:hAnsi="Arial" w:cs="Arial"/>
          <w:sz w:val="18"/>
          <w:szCs w:val="18"/>
          <w:lang w:eastAsia="ja-JP"/>
        </w:rPr>
        <w:t>Prozent, bei den 40- bis 49-Jährigen 26,3 Prozent. Bei den über 50-Jährigen lag der Anteil dagegen bei 16,</w:t>
      </w:r>
      <w:r w:rsidR="006212A2" w:rsidRPr="009918EC">
        <w:rPr>
          <w:rFonts w:ascii="Arial" w:hAnsi="Arial" w:cs="Arial"/>
          <w:sz w:val="18"/>
          <w:szCs w:val="18"/>
          <w:lang w:eastAsia="ja-JP"/>
        </w:rPr>
        <w:t>9</w:t>
      </w:r>
      <w:r w:rsidR="006212A2">
        <w:rPr>
          <w:rFonts w:ascii="Arial" w:hAnsi="Arial" w:cs="Arial"/>
          <w:sz w:val="18"/>
          <w:szCs w:val="18"/>
          <w:lang w:eastAsia="ja-JP"/>
        </w:rPr>
        <w:t> </w:t>
      </w:r>
      <w:r w:rsidRPr="009918EC">
        <w:rPr>
          <w:rFonts w:ascii="Arial" w:hAnsi="Arial" w:cs="Arial"/>
          <w:sz w:val="18"/>
          <w:szCs w:val="18"/>
          <w:lang w:eastAsia="ja-JP"/>
        </w:rPr>
        <w:t>Prozent.</w:t>
      </w:r>
    </w:p>
    <w:p w14:paraId="02BA9343" w14:textId="77777777" w:rsidR="009918EC" w:rsidRPr="009918EC" w:rsidRDefault="009918EC" w:rsidP="009918EC">
      <w:pPr>
        <w:spacing w:line="360" w:lineRule="auto"/>
        <w:rPr>
          <w:rFonts w:ascii="Arial" w:hAnsi="Arial" w:cs="Arial"/>
          <w:sz w:val="18"/>
          <w:szCs w:val="18"/>
          <w:lang w:eastAsia="ja-JP"/>
        </w:rPr>
      </w:pPr>
    </w:p>
    <w:p w14:paraId="4AB01A8D" w14:textId="77777777" w:rsidR="009918EC" w:rsidRPr="009918EC" w:rsidRDefault="009918EC" w:rsidP="009918EC">
      <w:pPr>
        <w:spacing w:line="360" w:lineRule="auto"/>
        <w:rPr>
          <w:rFonts w:ascii="Arial" w:hAnsi="Arial" w:cs="Arial"/>
          <w:b/>
          <w:bCs/>
          <w:sz w:val="18"/>
          <w:szCs w:val="18"/>
          <w:lang w:eastAsia="ja-JP"/>
        </w:rPr>
      </w:pPr>
      <w:r w:rsidRPr="009918EC">
        <w:rPr>
          <w:rFonts w:ascii="Arial" w:hAnsi="Arial" w:cs="Arial"/>
          <w:b/>
          <w:bCs/>
          <w:sz w:val="18"/>
          <w:szCs w:val="18"/>
          <w:lang w:eastAsia="ja-JP"/>
        </w:rPr>
        <w:t>Kosten spielen für viele eine zentrale Rolle</w:t>
      </w:r>
    </w:p>
    <w:p w14:paraId="60F78050" w14:textId="070307A6"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Die Ergebnisse der Befragung zeigen gleichzeitig aber auch, dass beim Banking für viele Deutsche vor allem eines zählt: Es soll möglichst günstig sein. Insgesamt halten 64,5 Prozent der Deutschen eine kostenlose Kontoführung für wichtig oder sehr wichtig. 33 Prozent geben sogar an, dass sie nur dann ein Konto eröffnen würden, wenn es komplett kostenlos ist. Weitere 30,9 Prozent sind bereit, Bedingungen wie einen monatlichen Mindestgeldeingang zu akzeptieren.</w:t>
      </w:r>
    </w:p>
    <w:p w14:paraId="1202613F" w14:textId="77777777" w:rsidR="009918EC" w:rsidRPr="009918EC" w:rsidRDefault="009918EC" w:rsidP="009918EC">
      <w:pPr>
        <w:spacing w:line="360" w:lineRule="auto"/>
        <w:rPr>
          <w:rFonts w:ascii="Arial" w:hAnsi="Arial" w:cs="Arial"/>
          <w:sz w:val="18"/>
          <w:szCs w:val="18"/>
          <w:lang w:eastAsia="ja-JP"/>
        </w:rPr>
      </w:pPr>
    </w:p>
    <w:p w14:paraId="00595BBF" w14:textId="77777777"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 xml:space="preserve">Auffällig ist, dass der Wunsch nach kostenlosem Banking unabhängig vom Einkommen weit verbreitet ist. In Haushalten mit über 2.500 Euro netto im Monat halten 66,6 Prozent eine kostenlose Kontoführung für wichtig. In Haushalten mit weniger als 2.500 Euro sind es 61 Prozent. </w:t>
      </w:r>
    </w:p>
    <w:p w14:paraId="7F216827" w14:textId="77777777" w:rsidR="009918EC" w:rsidRPr="009918EC" w:rsidRDefault="009918EC" w:rsidP="009918EC">
      <w:pPr>
        <w:spacing w:line="360" w:lineRule="auto"/>
        <w:rPr>
          <w:rFonts w:ascii="Arial" w:hAnsi="Arial" w:cs="Arial"/>
          <w:sz w:val="18"/>
          <w:szCs w:val="18"/>
          <w:lang w:eastAsia="ja-JP"/>
        </w:rPr>
      </w:pPr>
    </w:p>
    <w:p w14:paraId="3FA5A218" w14:textId="77777777"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Unterschiede zeigen sich zwischen den Altersgruppen. Am ausgeprägtesten ist der Wunsch nach einem kostenlosen Konto bei den 30- bis 39-Jährigen. 38,1 Prozent von ihnen würden ausschließlich kostenfreie Modelle akzeptieren. In der Altersgruppe der 40- bis 49-Jährigen sind es 34,5 Prozent und bei den über 50-Jährigen 32 Prozent. Unter den 18- bis 29-Jährigen sagen das 29,2 Prozent. Nur eine kleine Minderheit von 4,9 Prozent gibt an, lieber für ein Konto zu zahlen, sofern die Leistung stimmt.</w:t>
      </w:r>
    </w:p>
    <w:p w14:paraId="50485998" w14:textId="77777777" w:rsidR="009918EC" w:rsidRPr="009918EC" w:rsidRDefault="009918EC" w:rsidP="009918EC">
      <w:pPr>
        <w:spacing w:line="360" w:lineRule="auto"/>
        <w:rPr>
          <w:rFonts w:ascii="Arial" w:hAnsi="Arial" w:cs="Arial"/>
          <w:sz w:val="18"/>
          <w:szCs w:val="18"/>
          <w:lang w:eastAsia="ja-JP"/>
        </w:rPr>
      </w:pPr>
    </w:p>
    <w:p w14:paraId="02A2051F" w14:textId="77777777" w:rsidR="009918EC" w:rsidRPr="009918EC" w:rsidRDefault="009918EC" w:rsidP="009918EC">
      <w:pPr>
        <w:spacing w:line="360" w:lineRule="auto"/>
        <w:rPr>
          <w:rFonts w:ascii="Arial" w:hAnsi="Arial" w:cs="Arial"/>
          <w:b/>
          <w:bCs/>
          <w:sz w:val="18"/>
          <w:szCs w:val="18"/>
          <w:lang w:eastAsia="ja-JP"/>
        </w:rPr>
      </w:pPr>
      <w:r w:rsidRPr="009918EC">
        <w:rPr>
          <w:rFonts w:ascii="Arial" w:hAnsi="Arial" w:cs="Arial"/>
          <w:b/>
          <w:bCs/>
          <w:sz w:val="18"/>
          <w:szCs w:val="18"/>
          <w:lang w:eastAsia="ja-JP"/>
        </w:rPr>
        <w:t>Und warum wechseln manche dann doch nicht?</w:t>
      </w:r>
    </w:p>
    <w:p w14:paraId="1CAB3521" w14:textId="2A643273" w:rsidR="009918EC" w:rsidRPr="009918EC"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t>Trotz des wachsenden Interesses an Direktbanken entscheiden sich einige Deutsche am Ende gegen den Wechsel. Der häufigste Grund ist, dass ihnen der Aufwand zu groß ist. Das gaben 34,1 Prozent der Befragten an. Es ist der höchste Wert der vergangenen drei Jahre (2025: 33,9 Prozent; 2024: 31,6 Prozent). Auf Platz zwei folgt Zeitmangel. 25,4 Prozent sind nach eigenen Angaben bislang einfach nicht dazu gekommen.</w:t>
      </w:r>
    </w:p>
    <w:p w14:paraId="6F21F5AD" w14:textId="77777777" w:rsidR="009918EC" w:rsidRPr="009918EC" w:rsidRDefault="009918EC" w:rsidP="009918EC">
      <w:pPr>
        <w:spacing w:line="360" w:lineRule="auto"/>
        <w:rPr>
          <w:rFonts w:ascii="Arial" w:hAnsi="Arial" w:cs="Arial"/>
          <w:sz w:val="18"/>
          <w:szCs w:val="18"/>
          <w:lang w:eastAsia="ja-JP"/>
        </w:rPr>
      </w:pPr>
    </w:p>
    <w:p w14:paraId="6F944AAF" w14:textId="1A492B39" w:rsidR="00370D14" w:rsidRPr="00370D14" w:rsidRDefault="009918EC" w:rsidP="009918EC">
      <w:pPr>
        <w:spacing w:line="360" w:lineRule="auto"/>
        <w:rPr>
          <w:rFonts w:ascii="Arial" w:hAnsi="Arial" w:cs="Arial"/>
          <w:sz w:val="18"/>
          <w:szCs w:val="18"/>
          <w:lang w:eastAsia="ja-JP"/>
        </w:rPr>
      </w:pPr>
      <w:r w:rsidRPr="009918EC">
        <w:rPr>
          <w:rFonts w:ascii="Arial" w:hAnsi="Arial" w:cs="Arial"/>
          <w:sz w:val="18"/>
          <w:szCs w:val="18"/>
          <w:lang w:eastAsia="ja-JP"/>
        </w:rPr>
        <w:lastRenderedPageBreak/>
        <w:t xml:space="preserve">Auch emotionale Bindungen spielen eine Rolle. 21,1 Prozent wollten ihrer bisherigen Bank noch eine Chance geben. Andere Gründe sind der Wunsch nach Einfachheit. 17,5 Prozent möchten nicht bei mehreren Banken gleichzeitig Kunde sein oder haben </w:t>
      </w:r>
      <w:r w:rsidR="00A752A3">
        <w:rPr>
          <w:rFonts w:ascii="Arial" w:hAnsi="Arial" w:cs="Arial"/>
          <w:sz w:val="18"/>
          <w:szCs w:val="18"/>
          <w:lang w:eastAsia="ja-JP"/>
        </w:rPr>
        <w:t xml:space="preserve">zu </w:t>
      </w:r>
      <w:r w:rsidR="00A752A3" w:rsidRPr="009918EC">
        <w:rPr>
          <w:rFonts w:ascii="Arial" w:hAnsi="Arial" w:cs="Arial"/>
          <w:sz w:val="18"/>
          <w:szCs w:val="18"/>
          <w:lang w:eastAsia="ja-JP"/>
        </w:rPr>
        <w:t xml:space="preserve">14,1 Prozent </w:t>
      </w:r>
      <w:r w:rsidRPr="009918EC">
        <w:rPr>
          <w:rFonts w:ascii="Arial" w:hAnsi="Arial" w:cs="Arial"/>
          <w:sz w:val="18"/>
          <w:szCs w:val="18"/>
          <w:lang w:eastAsia="ja-JP"/>
        </w:rPr>
        <w:t>ein neues Angebot ihrer bisherigen Bank angenommen.</w:t>
      </w:r>
    </w:p>
    <w:p w14:paraId="2702024E" w14:textId="77777777" w:rsidR="00370D14" w:rsidRPr="00370D14" w:rsidRDefault="00370D14" w:rsidP="00370D14">
      <w:pPr>
        <w:spacing w:line="360" w:lineRule="auto"/>
        <w:rPr>
          <w:rFonts w:ascii="Arial" w:hAnsi="Arial" w:cs="Arial"/>
          <w:sz w:val="18"/>
          <w:szCs w:val="18"/>
          <w:lang w:eastAsia="ja-JP"/>
        </w:rPr>
      </w:pPr>
    </w:p>
    <w:p w14:paraId="22F584CA" w14:textId="131F1F03" w:rsidR="00E21965" w:rsidRDefault="00370D14" w:rsidP="00370D14">
      <w:pPr>
        <w:spacing w:line="360" w:lineRule="auto"/>
        <w:rPr>
          <w:rFonts w:ascii="Arial" w:hAnsi="Arial" w:cs="Arial"/>
          <w:color w:val="35312E"/>
          <w:sz w:val="18"/>
          <w:szCs w:val="18"/>
        </w:rPr>
      </w:pPr>
      <w:r w:rsidRPr="00370D14">
        <w:rPr>
          <w:rFonts w:ascii="Arial" w:hAnsi="Arial" w:cs="Arial"/>
          <w:sz w:val="18"/>
          <w:szCs w:val="18"/>
          <w:lang w:eastAsia="ja-JP"/>
        </w:rPr>
        <w:t>Mehr Informationen zur norisbank finden Sie unter www.norisbank.de.</w:t>
      </w:r>
    </w:p>
    <w:p w14:paraId="3FF3F2EE" w14:textId="77777777" w:rsidR="00E21965" w:rsidRDefault="00E21965" w:rsidP="00E21965">
      <w:pPr>
        <w:spacing w:line="360" w:lineRule="auto"/>
        <w:rPr>
          <w:rFonts w:ascii="Arial" w:hAnsi="Arial" w:cs="Arial"/>
          <w:color w:val="35312E"/>
          <w:sz w:val="18"/>
          <w:szCs w:val="18"/>
        </w:rPr>
      </w:pPr>
    </w:p>
    <w:p w14:paraId="0CBB5B1F" w14:textId="77777777" w:rsidR="00E21965" w:rsidRPr="0047038B" w:rsidRDefault="00E21965" w:rsidP="00E21965">
      <w:pPr>
        <w:spacing w:line="360" w:lineRule="auto"/>
        <w:rPr>
          <w:rFonts w:ascii="Arial" w:hAnsi="Arial" w:cs="Arial"/>
          <w:b/>
          <w:color w:val="101920" w:themeColor="text1"/>
          <w:sz w:val="18"/>
          <w:szCs w:val="18"/>
          <w:lang w:eastAsia="ja-JP"/>
        </w:rPr>
      </w:pPr>
      <w:r w:rsidRPr="0047038B">
        <w:rPr>
          <w:rFonts w:ascii="Arial" w:hAnsi="Arial" w:cs="Arial"/>
          <w:b/>
          <w:color w:val="101920" w:themeColor="text1"/>
          <w:sz w:val="18"/>
          <w:szCs w:val="18"/>
          <w:lang w:eastAsia="ja-JP"/>
        </w:rPr>
        <w:t>Über die Umfrage</w:t>
      </w:r>
    </w:p>
    <w:p w14:paraId="0AA372C1" w14:textId="77777777" w:rsidR="00E21965" w:rsidRPr="0047038B" w:rsidRDefault="00E21965" w:rsidP="00E21965">
      <w:pPr>
        <w:spacing w:line="360" w:lineRule="auto"/>
        <w:rPr>
          <w:rFonts w:ascii="Arial" w:hAnsi="Arial" w:cs="Arial"/>
          <w:bCs/>
          <w:color w:val="101920" w:themeColor="text1"/>
          <w:sz w:val="18"/>
          <w:szCs w:val="18"/>
          <w:lang w:eastAsia="ja-JP"/>
        </w:rPr>
      </w:pPr>
      <w:r w:rsidRPr="0047038B">
        <w:rPr>
          <w:rFonts w:ascii="Arial" w:hAnsi="Arial" w:cs="Arial"/>
          <w:bCs/>
          <w:color w:val="101920" w:themeColor="text1"/>
          <w:sz w:val="18"/>
          <w:szCs w:val="18"/>
          <w:lang w:eastAsia="ja-JP"/>
        </w:rPr>
        <w:t>Die norisbank hat zusammen mit dem Marktforschungsinstitut INNOFACT AG 1.041 Personen ab 18 Jahren bevölkerungsrepräsentativ nach Geschlecht, Alter und Region befragt. Die Online-Befragung wurde Ende Oktober 2025 durchgeführt.</w:t>
      </w:r>
    </w:p>
    <w:p w14:paraId="3D295732" w14:textId="77777777" w:rsidR="00E21965" w:rsidRPr="0047038B" w:rsidRDefault="00E21965" w:rsidP="00E21965">
      <w:pPr>
        <w:spacing w:line="360" w:lineRule="auto"/>
        <w:rPr>
          <w:rFonts w:ascii="Arial" w:hAnsi="Arial" w:cs="Arial"/>
          <w:b/>
          <w:color w:val="101920" w:themeColor="text1"/>
          <w:sz w:val="18"/>
          <w:szCs w:val="18"/>
          <w:lang w:eastAsia="ja-JP"/>
        </w:rPr>
      </w:pPr>
    </w:p>
    <w:p w14:paraId="1A68FA6D" w14:textId="77777777" w:rsidR="001750BF" w:rsidRPr="006D436B" w:rsidRDefault="001750BF" w:rsidP="001750BF">
      <w:pPr>
        <w:spacing w:line="360" w:lineRule="auto"/>
        <w:rPr>
          <w:rFonts w:ascii="Arial" w:hAnsi="Arial" w:cs="Arial"/>
          <w:b/>
          <w:color w:val="101920" w:themeColor="text1"/>
          <w:sz w:val="18"/>
          <w:szCs w:val="18"/>
          <w:lang w:eastAsia="ja-JP"/>
        </w:rPr>
      </w:pPr>
      <w:r w:rsidRPr="006D436B">
        <w:rPr>
          <w:rFonts w:ascii="Arial" w:hAnsi="Arial" w:cs="Arial"/>
          <w:b/>
          <w:color w:val="101920" w:themeColor="text1"/>
          <w:sz w:val="18"/>
          <w:szCs w:val="18"/>
          <w:lang w:eastAsia="ja-JP"/>
        </w:rPr>
        <w:t>Über die norisbank</w:t>
      </w:r>
    </w:p>
    <w:p w14:paraId="485BE51D" w14:textId="03AD4B30" w:rsidR="001750BF" w:rsidRPr="006D436B" w:rsidRDefault="001750BF" w:rsidP="001750BF">
      <w:pPr>
        <w:spacing w:line="360" w:lineRule="auto"/>
        <w:rPr>
          <w:rFonts w:ascii="Arial" w:hAnsi="Arial" w:cs="Arial"/>
          <w:color w:val="101920" w:themeColor="text1"/>
          <w:sz w:val="18"/>
          <w:szCs w:val="18"/>
        </w:rPr>
      </w:pPr>
      <w:r w:rsidRPr="006D436B">
        <w:rPr>
          <w:rFonts w:ascii="Arial" w:hAnsi="Arial" w:cs="Arial"/>
          <w:color w:val="101920" w:themeColor="text1"/>
          <w:sz w:val="18"/>
          <w:szCs w:val="18"/>
        </w:rPr>
        <w:t xml:space="preserve">Die norisbank – ein Unternehmen der Deutsche Bank Gruppe – ist eine moderne Direktbank, die ihren Kunden an </w:t>
      </w:r>
      <w:r w:rsidR="00E67105">
        <w:rPr>
          <w:rFonts w:ascii="Arial" w:hAnsi="Arial" w:cs="Arial"/>
          <w:color w:val="101920" w:themeColor="text1"/>
          <w:sz w:val="18"/>
          <w:szCs w:val="18"/>
        </w:rPr>
        <w:br/>
      </w:r>
      <w:r w:rsidRPr="006D436B">
        <w:rPr>
          <w:rFonts w:ascii="Arial" w:hAnsi="Arial" w:cs="Arial"/>
          <w:color w:val="101920" w:themeColor="text1"/>
          <w:sz w:val="18"/>
          <w:szCs w:val="18"/>
        </w:rPr>
        <w:t xml:space="preserve">7 Tagen die Woche 24 Stunden zur Verfügung steht. Sie bietet ihren Kunden Produkte und Services in Testsieger-Qualität zu stets attraktiven Konditionen. </w:t>
      </w:r>
      <w:r w:rsidRPr="009935C2">
        <w:rPr>
          <w:rFonts w:ascii="Arial" w:hAnsi="Arial" w:cs="Arial"/>
          <w:color w:val="101920" w:themeColor="text1"/>
          <w:sz w:val="18"/>
          <w:szCs w:val="18"/>
        </w:rPr>
        <w:t xml:space="preserve">Neben den Kernangeboten – dem leistungsstarken „Top-Girokonto“ ab </w:t>
      </w:r>
      <w:r w:rsidR="00E67105">
        <w:rPr>
          <w:rFonts w:ascii="Arial" w:hAnsi="Arial" w:cs="Arial"/>
          <w:color w:val="101920" w:themeColor="text1"/>
          <w:sz w:val="18"/>
          <w:szCs w:val="18"/>
        </w:rPr>
        <w:br/>
      </w:r>
      <w:r w:rsidRPr="009935C2">
        <w:rPr>
          <w:rFonts w:ascii="Arial" w:hAnsi="Arial" w:cs="Arial"/>
          <w:color w:val="101920" w:themeColor="text1"/>
          <w:sz w:val="18"/>
          <w:szCs w:val="18"/>
        </w:rPr>
        <w:t>0 Euro mit passender Kredit- oder Debitkarte</w:t>
      </w:r>
      <w:r>
        <w:rPr>
          <w:rFonts w:ascii="Arial" w:hAnsi="Arial" w:cs="Arial"/>
          <w:color w:val="101920" w:themeColor="text1"/>
          <w:sz w:val="18"/>
          <w:szCs w:val="18"/>
        </w:rPr>
        <w:t>, den attraktiven Tagesgeld-Angeboten</w:t>
      </w:r>
      <w:r w:rsidRPr="009935C2">
        <w:rPr>
          <w:rFonts w:ascii="Arial" w:hAnsi="Arial" w:cs="Arial"/>
          <w:color w:val="101920" w:themeColor="text1"/>
          <w:sz w:val="18"/>
          <w:szCs w:val="18"/>
        </w:rPr>
        <w:t xml:space="preserve"> sowie dem </w:t>
      </w:r>
      <w:r>
        <w:rPr>
          <w:rFonts w:ascii="Arial" w:hAnsi="Arial" w:cs="Arial"/>
          <w:color w:val="101920" w:themeColor="text1"/>
          <w:sz w:val="18"/>
          <w:szCs w:val="18"/>
        </w:rPr>
        <w:t>individuellen</w:t>
      </w:r>
      <w:r w:rsidRPr="009935C2">
        <w:rPr>
          <w:rFonts w:ascii="Arial" w:hAnsi="Arial" w:cs="Arial"/>
          <w:color w:val="101920" w:themeColor="text1"/>
          <w:sz w:val="18"/>
          <w:szCs w:val="18"/>
        </w:rPr>
        <w:t xml:space="preserve"> „Top-Kredit“ – </w:t>
      </w:r>
      <w:r>
        <w:rPr>
          <w:rFonts w:ascii="Arial" w:hAnsi="Arial" w:cs="Arial"/>
          <w:color w:val="101920" w:themeColor="text1"/>
          <w:sz w:val="18"/>
          <w:szCs w:val="18"/>
        </w:rPr>
        <w:t>bietet die norisbank ihren Kunden</w:t>
      </w:r>
      <w:r w:rsidRPr="009935C2">
        <w:rPr>
          <w:rFonts w:ascii="Arial" w:hAnsi="Arial" w:cs="Arial"/>
          <w:color w:val="101920" w:themeColor="text1"/>
          <w:sz w:val="18"/>
          <w:szCs w:val="18"/>
        </w:rPr>
        <w:t xml:space="preserve"> breit gefächerte Leistungen</w:t>
      </w:r>
      <w:r>
        <w:rPr>
          <w:rFonts w:ascii="Arial" w:hAnsi="Arial" w:cs="Arial"/>
          <w:color w:val="101920" w:themeColor="text1"/>
          <w:sz w:val="18"/>
          <w:szCs w:val="18"/>
        </w:rPr>
        <w:t xml:space="preserve"> in anerkannter Qualität</w:t>
      </w:r>
      <w:r w:rsidRPr="009935C2">
        <w:rPr>
          <w:rFonts w:ascii="Arial" w:hAnsi="Arial" w:cs="Arial"/>
          <w:color w:val="101920" w:themeColor="text1"/>
          <w:sz w:val="18"/>
          <w:szCs w:val="18"/>
        </w:rPr>
        <w:t xml:space="preserve"> zu exzellenten Konditionen</w:t>
      </w:r>
      <w:r w:rsidRPr="005A2EFF">
        <w:rPr>
          <w:rFonts w:ascii="Arial" w:hAnsi="Arial" w:cs="Arial"/>
          <w:color w:val="101920" w:themeColor="text1"/>
          <w:sz w:val="18"/>
          <w:szCs w:val="18"/>
        </w:rPr>
        <w:t>.</w:t>
      </w:r>
    </w:p>
    <w:p w14:paraId="08716840" w14:textId="77777777" w:rsidR="001750BF" w:rsidRPr="006D436B" w:rsidRDefault="001750BF" w:rsidP="001750BF">
      <w:pPr>
        <w:spacing w:line="360" w:lineRule="auto"/>
        <w:rPr>
          <w:rFonts w:ascii="Arial" w:hAnsi="Arial" w:cs="Arial"/>
          <w:color w:val="101920" w:themeColor="text1"/>
          <w:sz w:val="18"/>
          <w:szCs w:val="18"/>
        </w:rPr>
      </w:pPr>
    </w:p>
    <w:p w14:paraId="01B90325" w14:textId="77777777" w:rsidR="001750BF" w:rsidRPr="00882707" w:rsidRDefault="001750BF" w:rsidP="001750BF">
      <w:pPr>
        <w:spacing w:line="360" w:lineRule="auto"/>
        <w:rPr>
          <w:rFonts w:ascii="Arial" w:hAnsi="Arial" w:cs="Arial"/>
          <w:sz w:val="18"/>
          <w:szCs w:val="18"/>
          <w:lang w:eastAsia="ja-JP"/>
        </w:rPr>
      </w:pPr>
      <w:r w:rsidRPr="006D436B">
        <w:rPr>
          <w:rFonts w:ascii="Arial" w:hAnsi="Arial" w:cs="Arial"/>
          <w:color w:val="101920" w:themeColor="text1"/>
          <w:sz w:val="18"/>
          <w:szCs w:val="18"/>
        </w:rPr>
        <w:t>Für ihre kundenorientierten</w:t>
      </w:r>
      <w:r>
        <w:rPr>
          <w:rFonts w:ascii="Arial" w:hAnsi="Arial" w:cs="Arial"/>
          <w:color w:val="101920" w:themeColor="text1"/>
          <w:sz w:val="18"/>
          <w:szCs w:val="18"/>
        </w:rPr>
        <w:t>, leistungsstarken</w:t>
      </w:r>
      <w:r w:rsidRPr="006D436B">
        <w:rPr>
          <w:rFonts w:ascii="Arial" w:hAnsi="Arial" w:cs="Arial"/>
          <w:color w:val="101920" w:themeColor="text1"/>
          <w:sz w:val="18"/>
          <w:szCs w:val="18"/>
        </w:rPr>
        <w:t xml:space="preserve"> Angebote wurde die norisbank in den letzten Jahren vielfach prämiert. So belegte unter anderem das norisbank Top-Girokonto beim großen Girokonten-Vergleich 202</w:t>
      </w:r>
      <w:r>
        <w:rPr>
          <w:rFonts w:ascii="Arial" w:hAnsi="Arial" w:cs="Arial"/>
          <w:color w:val="101920" w:themeColor="text1"/>
          <w:sz w:val="18"/>
          <w:szCs w:val="18"/>
        </w:rPr>
        <w:t>5</w:t>
      </w:r>
      <w:r w:rsidRPr="006D436B">
        <w:rPr>
          <w:rFonts w:ascii="Arial" w:hAnsi="Arial" w:cs="Arial"/>
          <w:color w:val="101920" w:themeColor="text1"/>
          <w:sz w:val="18"/>
          <w:szCs w:val="18"/>
        </w:rPr>
        <w:t xml:space="preserve"> von €uro Platz 1. 202</w:t>
      </w:r>
      <w:r>
        <w:rPr>
          <w:rFonts w:ascii="Arial" w:hAnsi="Arial" w:cs="Arial"/>
          <w:color w:val="101920" w:themeColor="text1"/>
          <w:sz w:val="18"/>
          <w:szCs w:val="18"/>
        </w:rPr>
        <w:t>5</w:t>
      </w:r>
      <w:r w:rsidRPr="006D436B">
        <w:rPr>
          <w:rFonts w:ascii="Arial" w:hAnsi="Arial" w:cs="Arial"/>
          <w:color w:val="101920" w:themeColor="text1"/>
          <w:sz w:val="18"/>
          <w:szCs w:val="18"/>
        </w:rPr>
        <w:t xml:space="preserve"> </w:t>
      </w:r>
      <w:r>
        <w:rPr>
          <w:rFonts w:ascii="Arial" w:hAnsi="Arial" w:cs="Arial"/>
          <w:color w:val="101920" w:themeColor="text1"/>
          <w:sz w:val="18"/>
          <w:szCs w:val="18"/>
        </w:rPr>
        <w:t xml:space="preserve">verlieh </w:t>
      </w:r>
      <w:r w:rsidRPr="006D436B">
        <w:rPr>
          <w:rFonts w:ascii="Arial" w:hAnsi="Arial" w:cs="Arial"/>
          <w:color w:val="101920" w:themeColor="text1"/>
          <w:sz w:val="18"/>
          <w:szCs w:val="18"/>
        </w:rPr>
        <w:t xml:space="preserve">Focus Money </w:t>
      </w:r>
      <w:r w:rsidRPr="008616A8">
        <w:rPr>
          <w:rFonts w:ascii="Arial" w:hAnsi="Arial" w:cs="Arial"/>
          <w:color w:val="101920" w:themeColor="text1"/>
          <w:sz w:val="18"/>
          <w:szCs w:val="18"/>
        </w:rPr>
        <w:t xml:space="preserve">auf Basis eines deutschlandweiten Tests </w:t>
      </w:r>
      <w:r>
        <w:rPr>
          <w:rFonts w:ascii="Arial" w:hAnsi="Arial" w:cs="Arial"/>
          <w:color w:val="101920" w:themeColor="text1"/>
          <w:sz w:val="18"/>
          <w:szCs w:val="18"/>
        </w:rPr>
        <w:t xml:space="preserve">der </w:t>
      </w:r>
      <w:r w:rsidRPr="006D436B">
        <w:rPr>
          <w:rFonts w:ascii="Arial" w:hAnsi="Arial" w:cs="Arial"/>
          <w:color w:val="101920" w:themeColor="text1"/>
          <w:sz w:val="18"/>
          <w:szCs w:val="18"/>
        </w:rPr>
        <w:t>norisbank</w:t>
      </w:r>
      <w:r>
        <w:rPr>
          <w:rFonts w:ascii="Arial" w:hAnsi="Arial" w:cs="Arial"/>
          <w:color w:val="101920" w:themeColor="text1"/>
          <w:sz w:val="18"/>
          <w:szCs w:val="18"/>
        </w:rPr>
        <w:t xml:space="preserve"> überdies</w:t>
      </w:r>
      <w:r w:rsidRPr="006D436B">
        <w:rPr>
          <w:rFonts w:ascii="Arial" w:hAnsi="Arial" w:cs="Arial"/>
          <w:color w:val="101920" w:themeColor="text1"/>
          <w:sz w:val="18"/>
          <w:szCs w:val="18"/>
        </w:rPr>
        <w:t xml:space="preserve"> </w:t>
      </w:r>
      <w:r>
        <w:rPr>
          <w:rFonts w:ascii="Arial" w:hAnsi="Arial" w:cs="Arial"/>
          <w:color w:val="101920" w:themeColor="text1"/>
          <w:sz w:val="18"/>
          <w:szCs w:val="18"/>
        </w:rPr>
        <w:t>die Auszeichnung</w:t>
      </w:r>
      <w:r w:rsidRPr="006D436B">
        <w:rPr>
          <w:rFonts w:ascii="Arial" w:hAnsi="Arial" w:cs="Arial"/>
          <w:color w:val="101920" w:themeColor="text1"/>
          <w:sz w:val="18"/>
          <w:szCs w:val="18"/>
        </w:rPr>
        <w:t xml:space="preserve"> „Deutschlands beste</w:t>
      </w:r>
      <w:r>
        <w:rPr>
          <w:rFonts w:ascii="Arial" w:hAnsi="Arial" w:cs="Arial"/>
          <w:color w:val="101920" w:themeColor="text1"/>
          <w:sz w:val="18"/>
          <w:szCs w:val="18"/>
        </w:rPr>
        <w:t xml:space="preserve"> </w:t>
      </w:r>
      <w:r w:rsidRPr="006D436B">
        <w:rPr>
          <w:rFonts w:ascii="Arial" w:hAnsi="Arial" w:cs="Arial"/>
          <w:color w:val="101920" w:themeColor="text1"/>
          <w:sz w:val="18"/>
          <w:szCs w:val="18"/>
        </w:rPr>
        <w:t>Direktbank“. Vielfache weitere Auszeichnungen bestätigen darüber hinaus die Top-Qualität und das hervorragende Preis-Leistungs-Verhältnis der norisbank:</w:t>
      </w:r>
      <w:r>
        <w:rPr>
          <w:rFonts w:ascii="Arial" w:hAnsi="Arial" w:cs="Arial"/>
          <w:color w:val="101920" w:themeColor="text1"/>
          <w:sz w:val="18"/>
          <w:szCs w:val="18"/>
        </w:rPr>
        <w:t xml:space="preserve"> </w:t>
      </w:r>
      <w:hyperlink r:id="rId8" w:history="1">
        <w:r w:rsidRPr="002B5CE2">
          <w:rPr>
            <w:rStyle w:val="Hyperlink"/>
            <w:rFonts w:ascii="Arial" w:hAnsi="Arial" w:cs="Arial"/>
            <w:sz w:val="18"/>
            <w:szCs w:val="18"/>
          </w:rPr>
          <w:t>https://www.norisbank.de/ueber-uns/norisbank/auszeichnungen.html</w:t>
        </w:r>
      </w:hyperlink>
    </w:p>
    <w:p w14:paraId="31BA5625" w14:textId="77777777" w:rsidR="001750BF" w:rsidRPr="00882707" w:rsidRDefault="001750BF" w:rsidP="001750BF">
      <w:pPr>
        <w:spacing w:line="360" w:lineRule="auto"/>
        <w:rPr>
          <w:rFonts w:ascii="Arial" w:hAnsi="Arial" w:cs="Arial"/>
          <w:sz w:val="18"/>
          <w:szCs w:val="18"/>
          <w:lang w:eastAsia="ja-JP"/>
        </w:rPr>
      </w:pPr>
    </w:p>
    <w:p w14:paraId="14D804D2" w14:textId="548789A8" w:rsidR="00B36151" w:rsidRPr="00F17431" w:rsidRDefault="001750BF" w:rsidP="001750BF">
      <w:pPr>
        <w:spacing w:line="360" w:lineRule="auto"/>
        <w:rPr>
          <w:rFonts w:ascii="Arial" w:hAnsi="Arial" w:cs="Arial"/>
          <w:sz w:val="18"/>
          <w:szCs w:val="18"/>
        </w:rPr>
      </w:pPr>
      <w:r w:rsidRPr="00882707">
        <w:rPr>
          <w:rFonts w:ascii="Arial" w:hAnsi="Arial" w:cs="Arial"/>
          <w:b/>
          <w:sz w:val="18"/>
          <w:szCs w:val="18"/>
        </w:rPr>
        <w:t xml:space="preserve">Pressekontakt der norisbank: </w:t>
      </w:r>
      <w:r w:rsidRPr="00882707">
        <w:rPr>
          <w:rFonts w:ascii="Arial" w:hAnsi="Arial" w:cs="Arial"/>
          <w:b/>
          <w:sz w:val="18"/>
          <w:szCs w:val="18"/>
        </w:rPr>
        <w:br/>
      </w:r>
      <w:r w:rsidRPr="00882707">
        <w:rPr>
          <w:rFonts w:ascii="Arial" w:hAnsi="Arial" w:cs="Arial"/>
          <w:sz w:val="18"/>
          <w:szCs w:val="18"/>
        </w:rPr>
        <w:t>Christian Jacobs</w:t>
      </w:r>
      <w:r w:rsidRPr="00882707">
        <w:rPr>
          <w:rFonts w:ascii="Arial" w:hAnsi="Arial" w:cs="Arial"/>
          <w:sz w:val="18"/>
          <w:szCs w:val="18"/>
        </w:rPr>
        <w:br/>
        <w:t>Kommunikation &amp; Presse</w:t>
      </w:r>
      <w:r w:rsidRPr="00882707">
        <w:rPr>
          <w:rFonts w:ascii="Arial" w:hAnsi="Arial" w:cs="Arial"/>
          <w:sz w:val="18"/>
          <w:szCs w:val="18"/>
        </w:rPr>
        <w:br/>
      </w:r>
      <w:r w:rsidRPr="0047038B">
        <w:rPr>
          <w:rFonts w:ascii="Arial" w:hAnsi="Arial" w:cs="Arial"/>
          <w:bCs/>
          <w:color w:val="101920" w:themeColor="text1"/>
          <w:sz w:val="18"/>
          <w:szCs w:val="18"/>
          <w:lang w:eastAsia="ja-JP"/>
        </w:rPr>
        <w:t>Bundeskanzlerplatz 4, 53113 Bonn</w:t>
      </w:r>
      <w:r w:rsidRPr="0047038B">
        <w:rPr>
          <w:rFonts w:ascii="Arial" w:hAnsi="Arial" w:cs="Arial"/>
          <w:bCs/>
          <w:color w:val="101920" w:themeColor="text1"/>
          <w:sz w:val="18"/>
          <w:szCs w:val="18"/>
          <w:lang w:eastAsia="ja-JP"/>
        </w:rPr>
        <w:br/>
      </w:r>
      <w:r w:rsidRPr="00882707">
        <w:rPr>
          <w:rFonts w:ascii="Arial" w:hAnsi="Arial" w:cs="Arial"/>
          <w:sz w:val="18"/>
          <w:szCs w:val="18"/>
        </w:rPr>
        <w:t>Tel.: +49 228 280-45190</w:t>
      </w:r>
      <w:r w:rsidRPr="00882707">
        <w:rPr>
          <w:rFonts w:ascii="Arial" w:hAnsi="Arial" w:cs="Arial"/>
          <w:sz w:val="18"/>
          <w:szCs w:val="18"/>
        </w:rPr>
        <w:br/>
        <w:t xml:space="preserve">E-Mail: </w:t>
      </w:r>
      <w:hyperlink r:id="rId9" w:history="1">
        <w:r w:rsidRPr="00882707">
          <w:rPr>
            <w:rStyle w:val="Hyperlink"/>
            <w:rFonts w:ascii="Arial" w:hAnsi="Arial" w:cs="Arial"/>
            <w:sz w:val="18"/>
            <w:szCs w:val="18"/>
          </w:rPr>
          <w:t>christian-a.jacobs@norisbank.de</w:t>
        </w:r>
      </w:hyperlink>
    </w:p>
    <w:sectPr w:rsidR="00B36151" w:rsidRPr="00F17431" w:rsidSect="001C2D1F">
      <w:headerReference w:type="default" r:id="rId10"/>
      <w:footerReference w:type="default" r:id="rId11"/>
      <w:headerReference w:type="first" r:id="rId12"/>
      <w:footerReference w:type="first" r:id="rId13"/>
      <w:pgSz w:w="11906" w:h="16838" w:code="9"/>
      <w:pgMar w:top="2268" w:right="1132" w:bottom="1276"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450BF" w14:textId="77777777" w:rsidR="00A05D90" w:rsidRDefault="00A05D90">
      <w:r>
        <w:separator/>
      </w:r>
    </w:p>
  </w:endnote>
  <w:endnote w:type="continuationSeparator" w:id="0">
    <w:p w14:paraId="1496EA59" w14:textId="77777777" w:rsidR="00A05D90" w:rsidRDefault="00A0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utscheBank">
    <w:altName w:val="Calibri"/>
    <w:panose1 w:val="020B0503020202030204"/>
    <w:charset w:val="00"/>
    <w:family w:val="swiss"/>
    <w:pitch w:val="variable"/>
    <w:sig w:usb0="A00002EF" w:usb1="4000003B" w:usb2="0000002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utsche Bank Text">
    <w:panose1 w:val="020B0503020202030204"/>
    <w:charset w:val="00"/>
    <w:family w:val="swiss"/>
    <w:pitch w:val="variable"/>
    <w:sig w:usb0="A000006F" w:usb1="0000006B" w:usb2="00000028"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ource Sans 3">
    <w:altName w:val="Calibri"/>
    <w:charset w:val="00"/>
    <w:family w:val="swiss"/>
    <w:pitch w:val="variable"/>
    <w:sig w:usb0="E00002FF" w:usb1="00002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ED7C" w14:textId="77777777" w:rsidR="005F31A3" w:rsidRDefault="005F31A3" w:rsidP="00B276A2">
    <w:pPr>
      <w:pStyle w:val="Fuzeile"/>
    </w:pPr>
  </w:p>
  <w:p w14:paraId="5DEB7D78" w14:textId="77777777" w:rsidR="005F31A3" w:rsidRDefault="005F31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5E28" w14:textId="30FF4B94" w:rsidR="0079519B" w:rsidRDefault="0079519B" w:rsidP="0079519B">
    <w:pPr>
      <w:rPr>
        <w:rFonts w:ascii="Source Sans 3" w:hAnsi="Source Sans 3"/>
        <w:sz w:val="16"/>
        <w:szCs w:val="22"/>
      </w:rPr>
    </w:pPr>
    <w:r w:rsidRPr="00E716D0">
      <w:rPr>
        <w:rFonts w:ascii="Source Sans 3" w:hAnsi="Source Sans 3"/>
        <w:sz w:val="16"/>
        <w:szCs w:val="22"/>
      </w:rPr>
      <w:tab/>
    </w:r>
    <w:r w:rsidRPr="00E716D0">
      <w:rPr>
        <w:rFonts w:ascii="Source Sans 3" w:hAnsi="Source Sans 3"/>
        <w:sz w:val="16"/>
        <w:szCs w:val="22"/>
      </w:rPr>
      <w:tab/>
    </w:r>
    <w:r w:rsidRPr="00E716D0">
      <w:rPr>
        <w:rFonts w:ascii="Source Sans 3" w:hAnsi="Source Sans 3"/>
        <w:sz w:val="16"/>
        <w:szCs w:val="22"/>
      </w:rPr>
      <w:tab/>
    </w:r>
  </w:p>
  <w:p w14:paraId="7E3E5CFD" w14:textId="77777777" w:rsidR="0079519B" w:rsidRDefault="0079519B" w:rsidP="0079519B">
    <w:pPr>
      <w:rPr>
        <w:rFonts w:ascii="Source Sans 3" w:hAnsi="Source Sans 3"/>
        <w:sz w:val="16"/>
        <w:szCs w:val="22"/>
      </w:rPr>
    </w:pPr>
  </w:p>
  <w:p w14:paraId="5A536F81" w14:textId="77777777" w:rsidR="0079519B" w:rsidRPr="0079519B" w:rsidRDefault="0079519B" w:rsidP="0079519B">
    <w:pPr>
      <w:rPr>
        <w:rFonts w:ascii="Source Sans 3" w:hAnsi="Source Sans 3"/>
        <w:sz w:val="16"/>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30CF8" w14:textId="77777777" w:rsidR="00A05D90" w:rsidRDefault="00A05D90">
      <w:r>
        <w:separator/>
      </w:r>
    </w:p>
  </w:footnote>
  <w:footnote w:type="continuationSeparator" w:id="0">
    <w:p w14:paraId="189C3A22" w14:textId="77777777" w:rsidR="00A05D90" w:rsidRDefault="00A0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5120" w14:textId="52EF08E6" w:rsidR="005F31A3" w:rsidRDefault="00424FC7">
    <w:r>
      <w:rPr>
        <w:noProof/>
      </w:rPr>
      <w:drawing>
        <wp:anchor distT="0" distB="0" distL="114300" distR="114300" simplePos="0" relativeHeight="251662336" behindDoc="1" locked="1" layoutInCell="1" allowOverlap="1" wp14:anchorId="37354409" wp14:editId="38EB3135">
          <wp:simplePos x="0" y="0"/>
          <wp:positionH relativeFrom="column">
            <wp:posOffset>-883285</wp:posOffset>
          </wp:positionH>
          <wp:positionV relativeFrom="page">
            <wp:posOffset>6350</wp:posOffset>
          </wp:positionV>
          <wp:extent cx="7536815" cy="10665460"/>
          <wp:effectExtent l="0" t="0" r="0" b="0"/>
          <wp:wrapNone/>
          <wp:docPr id="11802771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2229" w14:textId="77777777" w:rsidR="005F31A3" w:rsidRDefault="005F31A3" w:rsidP="00990D55">
    <w:pPr>
      <w:framePr w:w="184" w:h="2939" w:hRule="exact" w:hSpace="142" w:wrap="notBeside" w:vAnchor="page" w:hAnchor="page" w:x="1248" w:y="2348"/>
    </w:pPr>
  </w:p>
  <w:p w14:paraId="5EE667F1" w14:textId="77777777" w:rsidR="003F0249" w:rsidRPr="00E46EAA" w:rsidRDefault="003F0249" w:rsidP="00990D55">
    <w:pPr>
      <w:framePr w:w="184" w:h="2939" w:hRule="exact" w:hSpace="142" w:wrap="notBeside" w:vAnchor="page" w:hAnchor="page" w:x="1248" w:y="2348"/>
    </w:pPr>
  </w:p>
  <w:p w14:paraId="3A52BC08" w14:textId="3BD4527A" w:rsidR="005F31A3" w:rsidRPr="00350EAC" w:rsidRDefault="00E7643E" w:rsidP="003875CD">
    <w:pPr>
      <w:pStyle w:val="Identifier"/>
    </w:pPr>
    <w:r>
      <w:drawing>
        <wp:anchor distT="0" distB="0" distL="114300" distR="114300" simplePos="0" relativeHeight="251660288" behindDoc="1" locked="1" layoutInCell="1" allowOverlap="1" wp14:anchorId="4D868DE1" wp14:editId="0347A49F">
          <wp:simplePos x="0" y="0"/>
          <wp:positionH relativeFrom="column">
            <wp:posOffset>-900430</wp:posOffset>
          </wp:positionH>
          <wp:positionV relativeFrom="page">
            <wp:posOffset>18415</wp:posOffset>
          </wp:positionV>
          <wp:extent cx="7536815" cy="10665460"/>
          <wp:effectExtent l="0" t="0" r="0" b="0"/>
          <wp:wrapNone/>
          <wp:docPr id="26737172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r w:rsidR="004F5A24">
      <w:br/>
    </w:r>
    <w:r w:rsidR="00751015" w:rsidRPr="004F5A24">
      <mc:AlternateContent>
        <mc:Choice Requires="wps">
          <w:drawing>
            <wp:anchor distT="0" distB="0" distL="114300" distR="114300" simplePos="0" relativeHeight="251655168" behindDoc="0" locked="1" layoutInCell="0" allowOverlap="1" wp14:anchorId="07975089" wp14:editId="54CBDFCF">
              <wp:simplePos x="0" y="0"/>
              <wp:positionH relativeFrom="page">
                <wp:posOffset>0</wp:posOffset>
              </wp:positionH>
              <wp:positionV relativeFrom="page">
                <wp:posOffset>3776980</wp:posOffset>
              </wp:positionV>
              <wp:extent cx="179705" cy="3810"/>
              <wp:effectExtent l="0" t="0" r="1270" b="635"/>
              <wp:wrapNone/>
              <wp:docPr id="1" name="Rectang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3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714F0" id="Rectangle 2" o:spid="_x0000_s1026" alt="&quot;&quot;" style="position:absolute;margin-left:0;margin-top:297.4pt;width:14.15pt;height:.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8sD5AEAALIDAAAOAAAAZHJzL2Uyb0RvYy54bWysU9Fu0zAUfUfiHyy/0zSlo1vUdJo6DSEN&#10;hjT4gFvHSSwcX3PtNi1fz7XbdRW8IfJg+frax+ccnyxv94MVO03BoKtlOZlKoZ3Cxriult+/Pby7&#10;liJEcA1YdLqWBx3k7ertm+XoKz3DHm2jSTCIC9Xoa9nH6KuiCKrXA4QJeu242SINELmkrmgIRkYf&#10;bDGbTj8UI1LjCZUOgVfvj025yvhtq1V8atugo7C1ZG4xj5THTRqL1RKqjsD3Rp1owD+wGMA4vvQM&#10;dQ8RxJbMX1CDUYQB2zhROBTYtkbprIHVlNM/1Dz34HXWwuYEf7Yp/D9Y9WX37L9Soh78I6ofQThc&#10;9+A6fUeEY6+h4evKZFQx+lCdD6Qi8FGxGT9jw08L24jZg31LQwJkdWKfrT6crdb7KBQvloubxfRK&#10;CsWt99dlfogCqpejnkL8qHEQaVJL4nfM0LB7DDFRgeplS6aO1jQPxtpcULdZWxI7SG+ev8yeFV5u&#10;sy5tdpiOHRHTStaYZKUEhWqDzYElEh6Dw0HnSY/0S4qRQ1PL8HMLpKWwnxzbdFPO5ylluZhfLWZc&#10;0GVnc9kBpxiqllGK43Qdj8ncejJdzzeVWbTDO7a2NVn4K6sTWQ5G9uMU4pS8yzrvev3VVr8BAAD/&#10;/wMAUEsDBBQABgAIAAAAIQDApfsG3QAAAAcBAAAPAAAAZHJzL2Rvd25yZXYueG1sTI/BTsMwEETv&#10;SPyDtUjcqENIUBriVBSJIxItHOjNiZckarwOttsGvp7tCY6zs5p5U61mO4oj+jA4UnC7SEAgtc4M&#10;1Cl4f3u+KUCEqMno0REq+MYAq/ryotKlcSfa4HEbO8EhFEqtoI9xKqUMbY9Wh4WbkNj7dN7qyNJ3&#10;0nh94nA7yjRJ7qXVA3FDryd86rHdbw9WwXpZrL9eM3r52TQ73H00+zz1iVLXV/PjA4iIc/x7hjM+&#10;o0PNTI07kAliVMBDooJ8mfEAttPiDkRzPuQZyLqS//nrXwAAAP//AwBQSwECLQAUAAYACAAAACEA&#10;toM4kv4AAADhAQAAEwAAAAAAAAAAAAAAAAAAAAAAW0NvbnRlbnRfVHlwZXNdLnhtbFBLAQItABQA&#10;BgAIAAAAIQA4/SH/1gAAAJQBAAALAAAAAAAAAAAAAAAAAC8BAABfcmVscy8ucmVsc1BLAQItABQA&#10;BgAIAAAAIQBOZ8sD5AEAALIDAAAOAAAAAAAAAAAAAAAAAC4CAABkcnMvZTJvRG9jLnhtbFBLAQIt&#10;ABQABgAIAAAAIQDApfsG3QAAAAcBAAAPAAAAAAAAAAAAAAAAAD4EAABkcnMvZG93bnJldi54bWxQ&#10;SwUGAAAAAAQABADzAAAASAUAAAAA&#10;" o:allowincell="f" fillcolor="black" stroked="f">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2B8421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C0ABB2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B86F47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796953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518E355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EE5C5D"/>
    <w:multiLevelType w:val="hybridMultilevel"/>
    <w:tmpl w:val="2690C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E1681A"/>
    <w:multiLevelType w:val="hybridMultilevel"/>
    <w:tmpl w:val="1BC0D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3027A4"/>
    <w:multiLevelType w:val="hybridMultilevel"/>
    <w:tmpl w:val="25CED3CC"/>
    <w:lvl w:ilvl="0" w:tplc="B54818E2">
      <w:numFmt w:val="bullet"/>
      <w:lvlText w:val=""/>
      <w:lvlJc w:val="left"/>
      <w:pPr>
        <w:ind w:left="720" w:hanging="360"/>
      </w:pPr>
      <w:rPr>
        <w:rFonts w:ascii="Symbol" w:hAnsi="Symbol" w:hint="default"/>
        <w:color w:val="101920" w:themeColor="text1"/>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257B59"/>
    <w:multiLevelType w:val="hybridMultilevel"/>
    <w:tmpl w:val="D3E80C00"/>
    <w:lvl w:ilvl="0" w:tplc="37F8A3B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6054309">
    <w:abstractNumId w:val="4"/>
  </w:num>
  <w:num w:numId="2" w16cid:durableId="2139950905">
    <w:abstractNumId w:val="3"/>
  </w:num>
  <w:num w:numId="3" w16cid:durableId="538321865">
    <w:abstractNumId w:val="2"/>
  </w:num>
  <w:num w:numId="4" w16cid:durableId="1704210526">
    <w:abstractNumId w:val="1"/>
  </w:num>
  <w:num w:numId="5" w16cid:durableId="1230506671">
    <w:abstractNumId w:val="0"/>
  </w:num>
  <w:num w:numId="6" w16cid:durableId="1850944527">
    <w:abstractNumId w:val="8"/>
  </w:num>
  <w:num w:numId="7" w16cid:durableId="1727870543">
    <w:abstractNumId w:val="6"/>
  </w:num>
  <w:num w:numId="8" w16cid:durableId="492375709">
    <w:abstractNumId w:val="7"/>
  </w:num>
  <w:num w:numId="9" w16cid:durableId="1340498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78"/>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7C"/>
    <w:rsid w:val="00012C05"/>
    <w:rsid w:val="0001709D"/>
    <w:rsid w:val="00023256"/>
    <w:rsid w:val="00025704"/>
    <w:rsid w:val="00026DC6"/>
    <w:rsid w:val="00027B38"/>
    <w:rsid w:val="00043658"/>
    <w:rsid w:val="000462CC"/>
    <w:rsid w:val="00052A00"/>
    <w:rsid w:val="000538EF"/>
    <w:rsid w:val="000551CC"/>
    <w:rsid w:val="000634C0"/>
    <w:rsid w:val="00065674"/>
    <w:rsid w:val="000665B2"/>
    <w:rsid w:val="000756C1"/>
    <w:rsid w:val="00077B3B"/>
    <w:rsid w:val="0009190F"/>
    <w:rsid w:val="000919D4"/>
    <w:rsid w:val="000A2165"/>
    <w:rsid w:val="000A4266"/>
    <w:rsid w:val="000D5063"/>
    <w:rsid w:val="000D7EF2"/>
    <w:rsid w:val="000E45D9"/>
    <w:rsid w:val="000F1808"/>
    <w:rsid w:val="000F651A"/>
    <w:rsid w:val="00105373"/>
    <w:rsid w:val="00110001"/>
    <w:rsid w:val="0011130C"/>
    <w:rsid w:val="001119F6"/>
    <w:rsid w:val="00140FE9"/>
    <w:rsid w:val="0014515D"/>
    <w:rsid w:val="001643FC"/>
    <w:rsid w:val="001750BF"/>
    <w:rsid w:val="001828C3"/>
    <w:rsid w:val="00182E18"/>
    <w:rsid w:val="00185F37"/>
    <w:rsid w:val="00196397"/>
    <w:rsid w:val="00196E4C"/>
    <w:rsid w:val="00197817"/>
    <w:rsid w:val="001A18E3"/>
    <w:rsid w:val="001A4317"/>
    <w:rsid w:val="001C07D0"/>
    <w:rsid w:val="001C2D1F"/>
    <w:rsid w:val="001C43E7"/>
    <w:rsid w:val="001C7E97"/>
    <w:rsid w:val="001E0EBE"/>
    <w:rsid w:val="001E145E"/>
    <w:rsid w:val="001E155D"/>
    <w:rsid w:val="001F24DA"/>
    <w:rsid w:val="001F721D"/>
    <w:rsid w:val="00214EB5"/>
    <w:rsid w:val="00217F01"/>
    <w:rsid w:val="00231665"/>
    <w:rsid w:val="0024770A"/>
    <w:rsid w:val="00251041"/>
    <w:rsid w:val="002527E3"/>
    <w:rsid w:val="00253532"/>
    <w:rsid w:val="00267867"/>
    <w:rsid w:val="002713A8"/>
    <w:rsid w:val="002716DF"/>
    <w:rsid w:val="00273B34"/>
    <w:rsid w:val="002754BD"/>
    <w:rsid w:val="002757EC"/>
    <w:rsid w:val="002915DB"/>
    <w:rsid w:val="002A277E"/>
    <w:rsid w:val="002A3B23"/>
    <w:rsid w:val="002A573A"/>
    <w:rsid w:val="002B1676"/>
    <w:rsid w:val="002B7E3A"/>
    <w:rsid w:val="002D2E26"/>
    <w:rsid w:val="002D2EA8"/>
    <w:rsid w:val="002D39E1"/>
    <w:rsid w:val="002D4E22"/>
    <w:rsid w:val="002D6101"/>
    <w:rsid w:val="002E42D3"/>
    <w:rsid w:val="002F3A40"/>
    <w:rsid w:val="002F523E"/>
    <w:rsid w:val="002F5771"/>
    <w:rsid w:val="002F764E"/>
    <w:rsid w:val="00305D2F"/>
    <w:rsid w:val="0030625B"/>
    <w:rsid w:val="00314B82"/>
    <w:rsid w:val="003201C1"/>
    <w:rsid w:val="003213C7"/>
    <w:rsid w:val="0032175D"/>
    <w:rsid w:val="003237B7"/>
    <w:rsid w:val="00325113"/>
    <w:rsid w:val="0034238E"/>
    <w:rsid w:val="003465AE"/>
    <w:rsid w:val="00350EAC"/>
    <w:rsid w:val="00354599"/>
    <w:rsid w:val="00363835"/>
    <w:rsid w:val="003648E2"/>
    <w:rsid w:val="00370D14"/>
    <w:rsid w:val="00382529"/>
    <w:rsid w:val="00382572"/>
    <w:rsid w:val="003875CD"/>
    <w:rsid w:val="00390C81"/>
    <w:rsid w:val="00392A43"/>
    <w:rsid w:val="0039505A"/>
    <w:rsid w:val="00396158"/>
    <w:rsid w:val="003978A7"/>
    <w:rsid w:val="00397CD9"/>
    <w:rsid w:val="003A5F72"/>
    <w:rsid w:val="003B484D"/>
    <w:rsid w:val="003C09D3"/>
    <w:rsid w:val="003C0B37"/>
    <w:rsid w:val="003D1B5A"/>
    <w:rsid w:val="003E0972"/>
    <w:rsid w:val="003E3208"/>
    <w:rsid w:val="003E417C"/>
    <w:rsid w:val="003F0249"/>
    <w:rsid w:val="003F4C2F"/>
    <w:rsid w:val="003F6EB2"/>
    <w:rsid w:val="00400F23"/>
    <w:rsid w:val="0040230E"/>
    <w:rsid w:val="0041453A"/>
    <w:rsid w:val="00416CF8"/>
    <w:rsid w:val="00424FC7"/>
    <w:rsid w:val="004336E1"/>
    <w:rsid w:val="004354F8"/>
    <w:rsid w:val="0045793F"/>
    <w:rsid w:val="00466E57"/>
    <w:rsid w:val="0047063C"/>
    <w:rsid w:val="00471DAB"/>
    <w:rsid w:val="00471FB7"/>
    <w:rsid w:val="004A0D65"/>
    <w:rsid w:val="004A2EED"/>
    <w:rsid w:val="004A78E7"/>
    <w:rsid w:val="004C0BDC"/>
    <w:rsid w:val="004C7B3B"/>
    <w:rsid w:val="004E08D6"/>
    <w:rsid w:val="004E1ACA"/>
    <w:rsid w:val="004E317D"/>
    <w:rsid w:val="004E5ED0"/>
    <w:rsid w:val="004F431B"/>
    <w:rsid w:val="004F4FB0"/>
    <w:rsid w:val="004F5A24"/>
    <w:rsid w:val="00504EBE"/>
    <w:rsid w:val="00510F4B"/>
    <w:rsid w:val="0051365B"/>
    <w:rsid w:val="00535582"/>
    <w:rsid w:val="00535CD6"/>
    <w:rsid w:val="00536EF6"/>
    <w:rsid w:val="00543025"/>
    <w:rsid w:val="00544798"/>
    <w:rsid w:val="00571ACF"/>
    <w:rsid w:val="00571F76"/>
    <w:rsid w:val="00572D99"/>
    <w:rsid w:val="005738EE"/>
    <w:rsid w:val="00576B71"/>
    <w:rsid w:val="00583F11"/>
    <w:rsid w:val="00584AB6"/>
    <w:rsid w:val="00585395"/>
    <w:rsid w:val="0058782F"/>
    <w:rsid w:val="005974BE"/>
    <w:rsid w:val="00597CCA"/>
    <w:rsid w:val="005A5C47"/>
    <w:rsid w:val="005E11EB"/>
    <w:rsid w:val="005E3E26"/>
    <w:rsid w:val="005E466C"/>
    <w:rsid w:val="005F31A3"/>
    <w:rsid w:val="00610232"/>
    <w:rsid w:val="006212A2"/>
    <w:rsid w:val="00622DBC"/>
    <w:rsid w:val="006233D0"/>
    <w:rsid w:val="006313BB"/>
    <w:rsid w:val="00633D40"/>
    <w:rsid w:val="00634AF7"/>
    <w:rsid w:val="006359AC"/>
    <w:rsid w:val="00640329"/>
    <w:rsid w:val="00653D3C"/>
    <w:rsid w:val="00657B9F"/>
    <w:rsid w:val="00675AAC"/>
    <w:rsid w:val="0067788E"/>
    <w:rsid w:val="00680F86"/>
    <w:rsid w:val="00682B75"/>
    <w:rsid w:val="006842ED"/>
    <w:rsid w:val="00693916"/>
    <w:rsid w:val="006B16F6"/>
    <w:rsid w:val="006B7B02"/>
    <w:rsid w:val="006E53A7"/>
    <w:rsid w:val="006F5240"/>
    <w:rsid w:val="006F6D55"/>
    <w:rsid w:val="007136D7"/>
    <w:rsid w:val="007228C6"/>
    <w:rsid w:val="00724CFA"/>
    <w:rsid w:val="007272A3"/>
    <w:rsid w:val="00732C02"/>
    <w:rsid w:val="00735D98"/>
    <w:rsid w:val="007362BE"/>
    <w:rsid w:val="00737269"/>
    <w:rsid w:val="00750254"/>
    <w:rsid w:val="007505A4"/>
    <w:rsid w:val="00751015"/>
    <w:rsid w:val="00752E03"/>
    <w:rsid w:val="00755601"/>
    <w:rsid w:val="007701D8"/>
    <w:rsid w:val="00783929"/>
    <w:rsid w:val="00785F16"/>
    <w:rsid w:val="00793208"/>
    <w:rsid w:val="0079519B"/>
    <w:rsid w:val="007A00A5"/>
    <w:rsid w:val="007B244B"/>
    <w:rsid w:val="007B2F04"/>
    <w:rsid w:val="007B4F48"/>
    <w:rsid w:val="007B4FE9"/>
    <w:rsid w:val="007C3C96"/>
    <w:rsid w:val="007D58F8"/>
    <w:rsid w:val="007D7072"/>
    <w:rsid w:val="007D787A"/>
    <w:rsid w:val="007E6857"/>
    <w:rsid w:val="007F372D"/>
    <w:rsid w:val="008016F5"/>
    <w:rsid w:val="0081555D"/>
    <w:rsid w:val="00835BD0"/>
    <w:rsid w:val="00843C73"/>
    <w:rsid w:val="008443EB"/>
    <w:rsid w:val="0085313D"/>
    <w:rsid w:val="00864008"/>
    <w:rsid w:val="0088410D"/>
    <w:rsid w:val="00895E4C"/>
    <w:rsid w:val="008A3A96"/>
    <w:rsid w:val="008A509A"/>
    <w:rsid w:val="008A6767"/>
    <w:rsid w:val="008B295E"/>
    <w:rsid w:val="008C6F85"/>
    <w:rsid w:val="008E3702"/>
    <w:rsid w:val="008F577D"/>
    <w:rsid w:val="009010C8"/>
    <w:rsid w:val="00904A6D"/>
    <w:rsid w:val="0091191E"/>
    <w:rsid w:val="00912584"/>
    <w:rsid w:val="009164B6"/>
    <w:rsid w:val="00922BF9"/>
    <w:rsid w:val="0093383D"/>
    <w:rsid w:val="00936516"/>
    <w:rsid w:val="00941296"/>
    <w:rsid w:val="00944685"/>
    <w:rsid w:val="0094602F"/>
    <w:rsid w:val="009540F1"/>
    <w:rsid w:val="009627BA"/>
    <w:rsid w:val="00963516"/>
    <w:rsid w:val="0096400D"/>
    <w:rsid w:val="0096443F"/>
    <w:rsid w:val="0096598A"/>
    <w:rsid w:val="0096762B"/>
    <w:rsid w:val="009852AB"/>
    <w:rsid w:val="00990D55"/>
    <w:rsid w:val="009918EC"/>
    <w:rsid w:val="0099517C"/>
    <w:rsid w:val="009A0389"/>
    <w:rsid w:val="009A12CC"/>
    <w:rsid w:val="009C6A20"/>
    <w:rsid w:val="009D1575"/>
    <w:rsid w:val="009F75AC"/>
    <w:rsid w:val="00A00BAD"/>
    <w:rsid w:val="00A038F1"/>
    <w:rsid w:val="00A0495E"/>
    <w:rsid w:val="00A05D90"/>
    <w:rsid w:val="00A27332"/>
    <w:rsid w:val="00A30FFF"/>
    <w:rsid w:val="00A35336"/>
    <w:rsid w:val="00A43489"/>
    <w:rsid w:val="00A57C0F"/>
    <w:rsid w:val="00A62B6C"/>
    <w:rsid w:val="00A725A0"/>
    <w:rsid w:val="00A752A3"/>
    <w:rsid w:val="00A84CD1"/>
    <w:rsid w:val="00A96FB3"/>
    <w:rsid w:val="00AB75A5"/>
    <w:rsid w:val="00AD188D"/>
    <w:rsid w:val="00AD1935"/>
    <w:rsid w:val="00AD1B0A"/>
    <w:rsid w:val="00AD3021"/>
    <w:rsid w:val="00AD3FB3"/>
    <w:rsid w:val="00AE4773"/>
    <w:rsid w:val="00AE76E0"/>
    <w:rsid w:val="00AF44BF"/>
    <w:rsid w:val="00B064B6"/>
    <w:rsid w:val="00B212C0"/>
    <w:rsid w:val="00B276A2"/>
    <w:rsid w:val="00B32D92"/>
    <w:rsid w:val="00B36151"/>
    <w:rsid w:val="00B51D50"/>
    <w:rsid w:val="00B63612"/>
    <w:rsid w:val="00B63C88"/>
    <w:rsid w:val="00B77F32"/>
    <w:rsid w:val="00B83017"/>
    <w:rsid w:val="00B8724A"/>
    <w:rsid w:val="00B90822"/>
    <w:rsid w:val="00B91B0E"/>
    <w:rsid w:val="00B92E75"/>
    <w:rsid w:val="00BA501F"/>
    <w:rsid w:val="00BA6226"/>
    <w:rsid w:val="00BB5E87"/>
    <w:rsid w:val="00BC025E"/>
    <w:rsid w:val="00BC2068"/>
    <w:rsid w:val="00BC2583"/>
    <w:rsid w:val="00BE0B5A"/>
    <w:rsid w:val="00BF424E"/>
    <w:rsid w:val="00BF5B9F"/>
    <w:rsid w:val="00C01CE3"/>
    <w:rsid w:val="00C106BD"/>
    <w:rsid w:val="00C1234D"/>
    <w:rsid w:val="00C30A1F"/>
    <w:rsid w:val="00C3517C"/>
    <w:rsid w:val="00C36EF5"/>
    <w:rsid w:val="00C514D3"/>
    <w:rsid w:val="00C56C04"/>
    <w:rsid w:val="00C6022E"/>
    <w:rsid w:val="00C652FE"/>
    <w:rsid w:val="00C85D6D"/>
    <w:rsid w:val="00C934A2"/>
    <w:rsid w:val="00C947FC"/>
    <w:rsid w:val="00CA0EAF"/>
    <w:rsid w:val="00CC05E4"/>
    <w:rsid w:val="00CC50DB"/>
    <w:rsid w:val="00CD3A60"/>
    <w:rsid w:val="00CE184C"/>
    <w:rsid w:val="00CE585D"/>
    <w:rsid w:val="00CF1CD1"/>
    <w:rsid w:val="00D03FF8"/>
    <w:rsid w:val="00D04794"/>
    <w:rsid w:val="00D10FB7"/>
    <w:rsid w:val="00D15D07"/>
    <w:rsid w:val="00D278BC"/>
    <w:rsid w:val="00D32D54"/>
    <w:rsid w:val="00D33F6E"/>
    <w:rsid w:val="00D40278"/>
    <w:rsid w:val="00D534FB"/>
    <w:rsid w:val="00D7322B"/>
    <w:rsid w:val="00D763DF"/>
    <w:rsid w:val="00D9427D"/>
    <w:rsid w:val="00D9799E"/>
    <w:rsid w:val="00DA1A89"/>
    <w:rsid w:val="00DA2503"/>
    <w:rsid w:val="00DB6884"/>
    <w:rsid w:val="00DC53B3"/>
    <w:rsid w:val="00DD3441"/>
    <w:rsid w:val="00DE1EF4"/>
    <w:rsid w:val="00DE3C73"/>
    <w:rsid w:val="00DE6A51"/>
    <w:rsid w:val="00DF154A"/>
    <w:rsid w:val="00DF5501"/>
    <w:rsid w:val="00E0668B"/>
    <w:rsid w:val="00E14594"/>
    <w:rsid w:val="00E21378"/>
    <w:rsid w:val="00E21965"/>
    <w:rsid w:val="00E316FC"/>
    <w:rsid w:val="00E3287A"/>
    <w:rsid w:val="00E33B8B"/>
    <w:rsid w:val="00E37A8E"/>
    <w:rsid w:val="00E4241C"/>
    <w:rsid w:val="00E450E1"/>
    <w:rsid w:val="00E4576C"/>
    <w:rsid w:val="00E46EAA"/>
    <w:rsid w:val="00E67105"/>
    <w:rsid w:val="00E716D0"/>
    <w:rsid w:val="00E74AAF"/>
    <w:rsid w:val="00E7643E"/>
    <w:rsid w:val="00E83A98"/>
    <w:rsid w:val="00E86336"/>
    <w:rsid w:val="00E864F2"/>
    <w:rsid w:val="00E97FF4"/>
    <w:rsid w:val="00EA15A8"/>
    <w:rsid w:val="00EB1CB1"/>
    <w:rsid w:val="00EB726A"/>
    <w:rsid w:val="00EC4287"/>
    <w:rsid w:val="00EC6E1F"/>
    <w:rsid w:val="00ED1302"/>
    <w:rsid w:val="00F049B0"/>
    <w:rsid w:val="00F05502"/>
    <w:rsid w:val="00F067A0"/>
    <w:rsid w:val="00F06D95"/>
    <w:rsid w:val="00F17431"/>
    <w:rsid w:val="00F27B9E"/>
    <w:rsid w:val="00F3424F"/>
    <w:rsid w:val="00F74E2D"/>
    <w:rsid w:val="00F74FDC"/>
    <w:rsid w:val="00F8095A"/>
    <w:rsid w:val="00F839B2"/>
    <w:rsid w:val="00F9429D"/>
    <w:rsid w:val="00F9674F"/>
    <w:rsid w:val="00F96CA0"/>
    <w:rsid w:val="00FC64EE"/>
    <w:rsid w:val="00FE0628"/>
    <w:rsid w:val="00FF31D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F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utscheBank" w:eastAsia="Times New Roman" w:hAnsi="DeutscheBank"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75CD"/>
  </w:style>
  <w:style w:type="paragraph" w:styleId="berschrift1">
    <w:name w:val="heading 1"/>
    <w:basedOn w:val="Standard"/>
    <w:next w:val="Standard"/>
    <w:qFormat/>
    <w:rsid w:val="00990D55"/>
    <w:pPr>
      <w:keepNext/>
      <w:spacing w:before="320" w:after="320" w:line="320" w:lineRule="exact"/>
      <w:outlineLvl w:val="0"/>
    </w:pPr>
    <w:rPr>
      <w:rFonts w:asciiTheme="majorHAnsi" w:hAnsiTheme="majorHAnsi" w:cs="Arial"/>
      <w:b/>
      <w:bCs/>
      <w:color w:val="FD5000" w:themeColor="accent1"/>
      <w:sz w:val="32"/>
    </w:rPr>
  </w:style>
  <w:style w:type="paragraph" w:styleId="berschrift2">
    <w:name w:val="heading 2"/>
    <w:basedOn w:val="berschrift1"/>
    <w:next w:val="Standard"/>
    <w:qFormat/>
    <w:rsid w:val="00990D55"/>
    <w:pPr>
      <w:outlineLvl w:val="1"/>
    </w:pPr>
    <w:rPr>
      <w:b w:val="0"/>
      <w:bCs w:val="0"/>
      <w:iCs/>
      <w:color w:val="7DE0C3" w:themeColor="accent2"/>
    </w:rPr>
  </w:style>
  <w:style w:type="paragraph" w:styleId="berschrift3">
    <w:name w:val="heading 3"/>
    <w:basedOn w:val="berschrift1"/>
    <w:next w:val="Standard"/>
    <w:qFormat/>
    <w:rsid w:val="00990D55"/>
    <w:pPr>
      <w:spacing w:before="280" w:after="280" w:line="240" w:lineRule="auto"/>
      <w:outlineLvl w:val="2"/>
    </w:pPr>
    <w:rPr>
      <w:b w:val="0"/>
      <w:bCs w:val="0"/>
      <w:color w:val="596675" w:themeColor="text2"/>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dresse">
    <w:name w:val="Adresse"/>
    <w:basedOn w:val="Standard"/>
    <w:rsid w:val="00572D99"/>
    <w:pPr>
      <w:framePr w:w="4536" w:h="1641" w:hRule="exact" w:hSpace="142" w:wrap="notBeside" w:vAnchor="page" w:hAnchor="page" w:x="1362" w:y="2859" w:anchorLock="1"/>
    </w:pPr>
    <w:rPr>
      <w:rFonts w:cs="Arial"/>
    </w:rPr>
  </w:style>
  <w:style w:type="paragraph" w:styleId="Kopfzeile">
    <w:name w:val="header"/>
    <w:basedOn w:val="Standard"/>
    <w:link w:val="KopfzeileZchn"/>
    <w:rsid w:val="0011130C"/>
    <w:pPr>
      <w:tabs>
        <w:tab w:val="center" w:pos="4536"/>
        <w:tab w:val="right" w:pos="9072"/>
      </w:tabs>
    </w:pPr>
  </w:style>
  <w:style w:type="paragraph" w:styleId="Fuzeile">
    <w:name w:val="footer"/>
    <w:basedOn w:val="Standard"/>
    <w:link w:val="FuzeileZchn"/>
    <w:rsid w:val="00B276A2"/>
    <w:pPr>
      <w:tabs>
        <w:tab w:val="left" w:pos="357"/>
      </w:tabs>
      <w:suppressAutoHyphens/>
      <w:spacing w:line="150" w:lineRule="exact"/>
    </w:pPr>
    <w:rPr>
      <w:rFonts w:cs="Arial"/>
      <w:noProof/>
      <w:sz w:val="12"/>
      <w:szCs w:val="12"/>
    </w:rPr>
  </w:style>
  <w:style w:type="paragraph" w:customStyle="1" w:styleId="Marginalie">
    <w:name w:val="Marginalie"/>
    <w:basedOn w:val="Standard"/>
    <w:rsid w:val="0011130C"/>
    <w:pPr>
      <w:framePr w:w="4309" w:h="3062" w:hRule="exact" w:hSpace="142" w:wrap="around" w:vAnchor="page" w:hAnchor="page" w:x="7202" w:y="2348" w:anchorLock="1"/>
      <w:tabs>
        <w:tab w:val="center" w:pos="4536"/>
        <w:tab w:val="right" w:pos="9072"/>
      </w:tabs>
      <w:spacing w:line="220" w:lineRule="exact"/>
    </w:pPr>
    <w:rPr>
      <w:sz w:val="18"/>
      <w:szCs w:val="18"/>
    </w:rPr>
  </w:style>
  <w:style w:type="character" w:customStyle="1" w:styleId="KopfzeileZchn">
    <w:name w:val="Kopfzeile Zchn"/>
    <w:basedOn w:val="Absatz-Standardschriftart"/>
    <w:link w:val="Kopfzeile"/>
    <w:rsid w:val="0011130C"/>
    <w:rPr>
      <w:rFonts w:ascii="Arial" w:hAnsi="Arial"/>
      <w:sz w:val="21"/>
      <w:szCs w:val="22"/>
    </w:rPr>
  </w:style>
  <w:style w:type="paragraph" w:customStyle="1" w:styleId="MarginaliekleinerZeilenabstand">
    <w:name w:val="Marginalie kleiner Zeilenabstand"/>
    <w:basedOn w:val="Marginalie"/>
    <w:rsid w:val="00111AC3"/>
    <w:pPr>
      <w:framePr w:wrap="around"/>
      <w:spacing w:line="120" w:lineRule="exact"/>
    </w:pPr>
    <w:rPr>
      <w:sz w:val="8"/>
    </w:rPr>
  </w:style>
  <w:style w:type="table" w:styleId="Tabellenraster">
    <w:name w:val="Table Grid"/>
    <w:basedOn w:val="NormaleTabelle"/>
    <w:rsid w:val="00F3424F"/>
    <w:pPr>
      <w:tabs>
        <w:tab w:val="left" w:pos="357"/>
      </w:tabs>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enderinformationen">
    <w:name w:val="Absenderinformationen"/>
    <w:basedOn w:val="Standard"/>
    <w:qFormat/>
    <w:rsid w:val="00B276A2"/>
    <w:pPr>
      <w:framePr w:w="3402" w:h="2835" w:hRule="exact" w:wrap="around" w:vAnchor="page" w:hAnchor="page" w:x="7939" w:y="2269" w:anchorLock="1"/>
      <w:tabs>
        <w:tab w:val="left" w:pos="357"/>
      </w:tabs>
      <w:spacing w:after="90"/>
    </w:pPr>
    <w:rPr>
      <w:noProof/>
      <w:color w:val="101920" w:themeColor="text1"/>
      <w:sz w:val="18"/>
      <w:szCs w:val="18"/>
    </w:rPr>
  </w:style>
  <w:style w:type="paragraph" w:customStyle="1" w:styleId="Empfnger">
    <w:name w:val="Empfänger"/>
    <w:basedOn w:val="Standard"/>
    <w:qFormat/>
    <w:rsid w:val="00B276A2"/>
    <w:pPr>
      <w:framePr w:w="4536" w:h="1537" w:hRule="exact" w:wrap="notBeside" w:vAnchor="page" w:hAnchor="page" w:x="1419" w:y="2989" w:anchorLock="1"/>
    </w:pPr>
  </w:style>
  <w:style w:type="paragraph" w:styleId="Sprechblasentext">
    <w:name w:val="Balloon Text"/>
    <w:basedOn w:val="Standard"/>
    <w:link w:val="SprechblasentextZchn"/>
    <w:rsid w:val="00990D55"/>
    <w:rPr>
      <w:rFonts w:cs="Tahoma"/>
      <w:sz w:val="16"/>
      <w:szCs w:val="16"/>
    </w:rPr>
  </w:style>
  <w:style w:type="character" w:customStyle="1" w:styleId="SprechblasentextZchn">
    <w:name w:val="Sprechblasentext Zchn"/>
    <w:basedOn w:val="Absatz-Standardschriftart"/>
    <w:link w:val="Sprechblasentext"/>
    <w:rsid w:val="00990D55"/>
    <w:rPr>
      <w:rFonts w:asciiTheme="minorHAnsi" w:hAnsiTheme="minorHAnsi" w:cs="Tahoma"/>
      <w:sz w:val="16"/>
      <w:szCs w:val="16"/>
    </w:rPr>
  </w:style>
  <w:style w:type="character" w:customStyle="1" w:styleId="FuzeileZchn">
    <w:name w:val="Fußzeile Zchn"/>
    <w:basedOn w:val="Absatz-Standardschriftart"/>
    <w:link w:val="Fuzeile"/>
    <w:rsid w:val="00B276A2"/>
    <w:rPr>
      <w:rFonts w:asciiTheme="minorHAnsi" w:hAnsiTheme="minorHAnsi" w:cs="Arial"/>
      <w:noProof/>
      <w:sz w:val="12"/>
      <w:szCs w:val="12"/>
    </w:rPr>
  </w:style>
  <w:style w:type="character" w:styleId="Hyperlink">
    <w:name w:val="Hyperlink"/>
    <w:basedOn w:val="Absatz-Standardschriftart"/>
    <w:unhideWhenUsed/>
    <w:rsid w:val="003875CD"/>
    <w:rPr>
      <w:color w:val="0069B1"/>
      <w:u w:val="none"/>
    </w:rPr>
  </w:style>
  <w:style w:type="paragraph" w:customStyle="1" w:styleId="Flietext">
    <w:name w:val="Fließtext"/>
    <w:basedOn w:val="Standard"/>
    <w:qFormat/>
    <w:rsid w:val="00A35336"/>
    <w:pPr>
      <w:tabs>
        <w:tab w:val="left" w:pos="6521"/>
      </w:tabs>
      <w:autoSpaceDE w:val="0"/>
      <w:autoSpaceDN w:val="0"/>
      <w:adjustRightInd w:val="0"/>
    </w:pPr>
    <w:rPr>
      <w:rFonts w:cs="Arial"/>
      <w:color w:val="000000"/>
    </w:rPr>
  </w:style>
  <w:style w:type="paragraph" w:customStyle="1" w:styleId="Identifier">
    <w:name w:val="Identifier"/>
    <w:basedOn w:val="Standard"/>
    <w:qFormat/>
    <w:rsid w:val="003875CD"/>
    <w:pPr>
      <w:spacing w:line="240" w:lineRule="exact"/>
    </w:pPr>
    <w:rPr>
      <w:rFonts w:asciiTheme="majorHAnsi" w:hAnsiTheme="majorHAnsi"/>
      <w:noProof/>
      <w:color w:val="FD5000" w:themeColor="accent1"/>
      <w:sz w:val="24"/>
      <w:szCs w:val="24"/>
    </w:rPr>
  </w:style>
  <w:style w:type="character" w:customStyle="1" w:styleId="FuzeileZchn1">
    <w:name w:val="Fußzeile Zchn1"/>
    <w:basedOn w:val="Absatz-Standardschriftart"/>
    <w:semiHidden/>
    <w:rsid w:val="00026DC6"/>
    <w:rPr>
      <w:rFonts w:ascii="Deutsche Bank Text" w:hAnsi="Deutsche Bank Text"/>
      <w:sz w:val="21"/>
      <w:szCs w:val="22"/>
    </w:rPr>
  </w:style>
  <w:style w:type="character" w:styleId="NichtaufgelsteErwhnung">
    <w:name w:val="Unresolved Mention"/>
    <w:basedOn w:val="Absatz-Standardschriftart"/>
    <w:uiPriority w:val="99"/>
    <w:semiHidden/>
    <w:unhideWhenUsed/>
    <w:rsid w:val="00DF154A"/>
    <w:rPr>
      <w:color w:val="605E5C"/>
      <w:shd w:val="clear" w:color="auto" w:fill="E1DFDD"/>
    </w:rPr>
  </w:style>
  <w:style w:type="character" w:customStyle="1" w:styleId="Bold">
    <w:name w:val="Bold"/>
    <w:basedOn w:val="Absatz-Standardschriftart"/>
    <w:uiPriority w:val="1"/>
    <w:qFormat/>
    <w:rsid w:val="00A35336"/>
    <w:rPr>
      <w:b/>
      <w:bCs/>
    </w:rPr>
  </w:style>
  <w:style w:type="character" w:styleId="BesuchterLink">
    <w:name w:val="FollowedHyperlink"/>
    <w:basedOn w:val="Absatz-Standardschriftart"/>
    <w:semiHidden/>
    <w:unhideWhenUsed/>
    <w:rsid w:val="001C2D1F"/>
    <w:rPr>
      <w:color w:val="101920" w:themeColor="followedHyperlink"/>
      <w:u w:val="single"/>
    </w:rPr>
  </w:style>
  <w:style w:type="paragraph" w:styleId="Listenabsatz">
    <w:name w:val="List Paragraph"/>
    <w:basedOn w:val="Standard"/>
    <w:uiPriority w:val="34"/>
    <w:qFormat/>
    <w:rsid w:val="001C2D1F"/>
    <w:pPr>
      <w:ind w:left="720"/>
      <w:contextualSpacing/>
    </w:pPr>
    <w:rPr>
      <w:rFonts w:ascii="Times New Roman" w:eastAsiaTheme="minorEastAsia" w:hAnsi="Times New Roman"/>
      <w:sz w:val="24"/>
      <w:szCs w:val="24"/>
    </w:rPr>
  </w:style>
  <w:style w:type="paragraph" w:styleId="berarbeitung">
    <w:name w:val="Revision"/>
    <w:hidden/>
    <w:uiPriority w:val="99"/>
    <w:semiHidden/>
    <w:rsid w:val="00653D3C"/>
  </w:style>
  <w:style w:type="character" w:styleId="Kommentarzeichen">
    <w:name w:val="annotation reference"/>
    <w:basedOn w:val="Absatz-Standardschriftart"/>
    <w:semiHidden/>
    <w:unhideWhenUsed/>
    <w:rsid w:val="00D278BC"/>
    <w:rPr>
      <w:sz w:val="16"/>
      <w:szCs w:val="16"/>
    </w:rPr>
  </w:style>
  <w:style w:type="paragraph" w:styleId="Kommentartext">
    <w:name w:val="annotation text"/>
    <w:basedOn w:val="Standard"/>
    <w:link w:val="KommentartextZchn"/>
    <w:unhideWhenUsed/>
    <w:rsid w:val="00D278BC"/>
  </w:style>
  <w:style w:type="character" w:customStyle="1" w:styleId="KommentartextZchn">
    <w:name w:val="Kommentartext Zchn"/>
    <w:basedOn w:val="Absatz-Standardschriftart"/>
    <w:link w:val="Kommentartext"/>
    <w:rsid w:val="00D278BC"/>
  </w:style>
  <w:style w:type="paragraph" w:styleId="Kommentarthema">
    <w:name w:val="annotation subject"/>
    <w:basedOn w:val="Kommentartext"/>
    <w:next w:val="Kommentartext"/>
    <w:link w:val="KommentarthemaZchn"/>
    <w:semiHidden/>
    <w:unhideWhenUsed/>
    <w:rsid w:val="00D278BC"/>
    <w:rPr>
      <w:b/>
      <w:bCs/>
    </w:rPr>
  </w:style>
  <w:style w:type="character" w:customStyle="1" w:styleId="KommentarthemaZchn">
    <w:name w:val="Kommentarthema Zchn"/>
    <w:basedOn w:val="KommentartextZchn"/>
    <w:link w:val="Kommentarthema"/>
    <w:semiHidden/>
    <w:rsid w:val="00D27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7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isbank.de/ueber-uns/norisbank/auszeichnungen.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hristian-a.jacobs@norisbank.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db24-bright-2025-01">
  <a:themeElements>
    <a:clrScheme name="NOB NEW DESIGN">
      <a:dk1>
        <a:srgbClr val="101920"/>
      </a:dk1>
      <a:lt1>
        <a:srgbClr val="FFFFFF"/>
      </a:lt1>
      <a:dk2>
        <a:srgbClr val="596675"/>
      </a:dk2>
      <a:lt2>
        <a:srgbClr val="DAE2ED"/>
      </a:lt2>
      <a:accent1>
        <a:srgbClr val="FD5000"/>
      </a:accent1>
      <a:accent2>
        <a:srgbClr val="7DE0C3"/>
      </a:accent2>
      <a:accent3>
        <a:srgbClr val="6C85AE"/>
      </a:accent3>
      <a:accent4>
        <a:srgbClr val="9DAEC9"/>
      </a:accent4>
      <a:accent5>
        <a:srgbClr val="CED6E4"/>
      </a:accent5>
      <a:accent6>
        <a:srgbClr val="E7EBF2"/>
      </a:accent6>
      <a:hlink>
        <a:srgbClr val="101920"/>
      </a:hlink>
      <a:folHlink>
        <a:srgbClr val="101920"/>
      </a:folHlink>
    </a:clrScheme>
    <a:fontScheme name="Deutsche Bank 2024 09">
      <a:majorFont>
        <a:latin typeface="DeutscheBank"/>
        <a:ea typeface="MS PGothic"/>
        <a:cs typeface=""/>
      </a:majorFont>
      <a:minorFont>
        <a:latin typeface="DeutscheBan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none" lIns="0" tIns="0" rIns="0" bIns="0" rtlCol="0">
        <a:spAutoFit/>
      </a:bodyPr>
      <a:lstStyle>
        <a:defPPr algn="l">
          <a:defRPr sz="1400" dirty="0" smtClean="0"/>
        </a:defPPr>
      </a:lstStyle>
    </a:txDef>
  </a:objectDefaults>
  <a:extraClrSchemeLst/>
  <a:custClrLst>
    <a:custClr name="Deep Blue">
      <a:srgbClr val="1E2A78"/>
    </a:custClr>
    <a:custClr name="Dark Blue">
      <a:srgbClr val="16184E"/>
    </a:custClr>
    <a:custClr name="Mid Blue">
      <a:srgbClr val="0069B1"/>
    </a:custClr>
    <a:custClr name="Bright Blue">
      <a:srgbClr val="34A6DC"/>
    </a:custClr>
    <a:custClr name="Light Blue">
      <a:srgbClr val="CDEBF6"/>
    </a:custClr>
    <a:custClr name="Ice Blue">
      <a:srgbClr val="ECF4FC"/>
    </a:custClr>
    <a:custClr name="Grey">
      <a:srgbClr val="EDF1F7"/>
    </a:custClr>
    <a:custClr name="Light Violet">
      <a:srgbClr val="C18EBD"/>
    </a:custClr>
    <a:custClr name="Rubine Red">
      <a:srgbClr val="D4065D"/>
    </a:custClr>
    <a:custClr name="White">
      <a:srgbClr val="FFFFFF"/>
    </a:custClr>
    <a:custClr name="Turquoise">
      <a:srgbClr val="3BB8B8"/>
    </a:custClr>
    <a:custClr name="Petrol">
      <a:srgbClr val="24778D"/>
    </a:custClr>
    <a:custClr name="Summer Green">
      <a:srgbClr val="25A62D"/>
    </a:custClr>
    <a:custClr name="Spring Green">
      <a:srgbClr val="C9DD03"/>
    </a:custClr>
    <a:custClr name="Autumn Green">
      <a:srgbClr val="A1AC05"/>
    </a:custClr>
    <a:custClr name="Lucent Yellow">
      <a:srgbClr val="FFE600"/>
    </a:custClr>
    <a:custClr name="Sundown Orange">
      <a:srgbClr val="F28011"/>
    </a:custClr>
    <a:custClr name="Night Violet">
      <a:srgbClr val="431661"/>
    </a:custClr>
    <a:custClr name="Bright Red">
      <a:srgbClr val="E7001D"/>
    </a:custClr>
    <a:custClr name="White">
      <a:srgbClr val="FFFFFF"/>
    </a:custClr>
  </a:custClrLst>
  <a:extLst>
    <a:ext uri="{05A4C25C-085E-4340-85A3-A5531E510DB2}">
      <thm15:themeFamily xmlns:thm15="http://schemas.microsoft.com/office/thememl/2012/main" name="db24-bright-2025-01" id="{CE5E6E1F-4E6A-41FC-A1CC-BAD2791C7B66}" vid="{7C94FF46-8220-4740-BE68-35FA3E1CCF6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F84CE0-AA12-46C6-8554-1F00D765DCEF}">
  <we:reference id="wa104381727" version="1.0.1.0" store="de-DE" storeType="OMEX"/>
  <we:alternateReferences>
    <we:reference id="WA104381727" version="1.0.1.0" store="" storeType="OMEX"/>
  </we:alternateReferences>
  <we:properties>
    <we:property name="documentId" value="&quot;7fc478425332b7e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A3841-B27E-4519-860E-FE4A5270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6596</Characters>
  <Application>Microsoft Office Word</Application>
  <DocSecurity>0</DocSecurity>
  <Lines>114</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2026-03-20T05:13:00Z</dcterms:created>
  <dcterms:modified xsi:type="dcterms:W3CDTF">2026-03-20T05:14:00Z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7f8449-e5d3-4eba-8da7-ffd6ca5bf3e9_Enabled">
    <vt:lpwstr>true</vt:lpwstr>
  </property>
  <property fmtid="{D5CDD505-2E9C-101B-9397-08002B2CF9AE}" pid="3" name="MSIP_Label_1b7f8449-e5d3-4eba-8da7-ffd6ca5bf3e9_SetDate">
    <vt:lpwstr>2026-03-20T05:11:04Z</vt:lpwstr>
  </property>
  <property fmtid="{D5CDD505-2E9C-101B-9397-08002B2CF9AE}" pid="4" name="MSIP_Label_1b7f8449-e5d3-4eba-8da7-ffd6ca5bf3e9_Method">
    <vt:lpwstr>Privileged</vt:lpwstr>
  </property>
  <property fmtid="{D5CDD505-2E9C-101B-9397-08002B2CF9AE}" pid="5" name="MSIP_Label_1b7f8449-e5d3-4eba-8da7-ffd6ca5bf3e9_Name">
    <vt:lpwstr>1b7f8449-e5d3-4eba-8da7-ffd6ca5bf3e9</vt:lpwstr>
  </property>
  <property fmtid="{D5CDD505-2E9C-101B-9397-08002B2CF9AE}" pid="6" name="MSIP_Label_1b7f8449-e5d3-4eba-8da7-ffd6ca5bf3e9_SiteId">
    <vt:lpwstr>1e9b61e8-e590-4abc-b1af-24125e330d2a</vt:lpwstr>
  </property>
  <property fmtid="{D5CDD505-2E9C-101B-9397-08002B2CF9AE}" pid="7" name="MSIP_Label_1b7f8449-e5d3-4eba-8da7-ffd6ca5bf3e9_ActionId">
    <vt:lpwstr>41d6cf8f-9e3c-4043-808a-689b63b65648</vt:lpwstr>
  </property>
  <property fmtid="{D5CDD505-2E9C-101B-9397-08002B2CF9AE}" pid="8" name="MSIP_Label_1b7f8449-e5d3-4eba-8da7-ffd6ca5bf3e9_ContentBits">
    <vt:lpwstr>0</vt:lpwstr>
  </property>
  <property fmtid="{D5CDD505-2E9C-101B-9397-08002B2CF9AE}" pid="9" name="MSIP_Label_1b7f8449-e5d3-4eba-8da7-ffd6ca5bf3e9_Tag">
    <vt:lpwstr>10, 0, 1, 1</vt:lpwstr>
  </property>
</Properties>
</file>